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53B5B">
      <w:pPr>
        <w:spacing w:line="579" w:lineRule="exact"/>
        <w:jc w:val="center"/>
        <w:outlineLvl w:val="0"/>
        <w:rPr>
          <w:rFonts w:hint="eastAsia" w:ascii="方正小标宋简体" w:hAnsi="宋体" w:eastAsia="方正小标宋简体"/>
          <w:sz w:val="44"/>
          <w:szCs w:val="44"/>
        </w:rPr>
      </w:pPr>
      <w:bookmarkStart w:id="18" w:name="_GoBack"/>
      <w:bookmarkEnd w:id="18"/>
      <w:r>
        <w:rPr>
          <w:rFonts w:hint="eastAsia" w:ascii="方正小标宋简体" w:hAnsi="宋体" w:eastAsia="方正小标宋简体"/>
          <w:sz w:val="44"/>
          <w:szCs w:val="44"/>
          <w:lang w:val="en-US" w:eastAsia="zh-CN"/>
        </w:rPr>
        <w:t>会议室信息化改造</w:t>
      </w:r>
      <w:r>
        <w:rPr>
          <w:rFonts w:hint="eastAsia" w:ascii="方正小标宋简体" w:hAnsi="宋体" w:eastAsia="方正小标宋简体"/>
          <w:sz w:val="44"/>
          <w:szCs w:val="44"/>
        </w:rPr>
        <w:t>设计</w:t>
      </w:r>
      <w:r>
        <w:rPr>
          <w:rFonts w:hint="eastAsia" w:ascii="方正小标宋简体" w:hAnsi="宋体" w:eastAsia="方正小标宋简体"/>
          <w:sz w:val="44"/>
          <w:szCs w:val="44"/>
          <w:lang w:val="en-US" w:eastAsia="zh-CN"/>
        </w:rPr>
        <w:t>方案</w:t>
      </w:r>
    </w:p>
    <w:p w14:paraId="23CAFF2C">
      <w:pPr>
        <w:spacing w:line="579" w:lineRule="exact"/>
        <w:ind w:firstLine="640" w:firstLineChars="200"/>
        <w:outlineLvl w:val="0"/>
        <w:rPr>
          <w:rFonts w:ascii="黑体" w:hAnsi="黑体" w:eastAsia="黑体" w:cs="Arial"/>
          <w:kern w:val="10"/>
          <w:sz w:val="32"/>
          <w:szCs w:val="32"/>
        </w:rPr>
      </w:pPr>
      <w:r>
        <w:rPr>
          <w:rFonts w:hint="eastAsia" w:ascii="黑体" w:hAnsi="黑体" w:eastAsia="黑体" w:cs="Arial"/>
          <w:kern w:val="10"/>
          <w:sz w:val="32"/>
          <w:szCs w:val="32"/>
          <w:lang w:val="en-US" w:eastAsia="zh-CN"/>
        </w:rPr>
        <w:t>一、</w:t>
      </w:r>
      <w:r>
        <w:rPr>
          <w:rFonts w:ascii="黑体" w:hAnsi="黑体" w:eastAsia="黑体" w:cs="Arial"/>
          <w:kern w:val="10"/>
          <w:sz w:val="32"/>
          <w:szCs w:val="32"/>
        </w:rPr>
        <w:t>概述</w:t>
      </w:r>
    </w:p>
    <w:p w14:paraId="3BD83FBE">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通过新增一套可移动无纸化会议系统，大幅度提高办会效率。建成后主要功能效果如下： </w:t>
      </w:r>
    </w:p>
    <w:p w14:paraId="25926C31">
      <w:pPr>
        <w:spacing w:line="579" w:lineRule="exact"/>
        <w:ind w:firstLine="640" w:firstLineChars="200"/>
        <w:rPr>
          <w:rFonts w:hint="default"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①人员电子桌牌显示；</w:t>
      </w:r>
    </w:p>
    <w:p w14:paraId="27634C0B">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②会前集中电子化管理会议议程、会议文件，接触会议文件的人少，保密性好；</w:t>
      </w:r>
    </w:p>
    <w:p w14:paraId="7EE9AC81">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③会议资料全部是电子文档，会议中可演示多种类型文件，如音视频、CAD图纸、PDF文件等，会议体验好；</w:t>
      </w:r>
    </w:p>
    <w:p w14:paraId="17FE4887">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④会后资料安全，一键销毁，保障安全；</w:t>
      </w:r>
    </w:p>
    <w:p w14:paraId="1AA9CB6B">
      <w:pPr>
        <w:spacing w:line="579" w:lineRule="exact"/>
        <w:ind w:firstLine="640" w:firstLineChars="200"/>
        <w:outlineLvl w:val="0"/>
        <w:rPr>
          <w:rFonts w:hint="eastAsia" w:ascii="黑体" w:hAnsi="黑体" w:eastAsia="黑体" w:cs="Arial"/>
          <w:kern w:val="10"/>
          <w:sz w:val="32"/>
          <w:szCs w:val="32"/>
          <w:lang w:val="en-US" w:eastAsia="zh-CN"/>
        </w:rPr>
      </w:pPr>
      <w:r>
        <w:rPr>
          <w:rFonts w:hint="eastAsia" w:ascii="黑体" w:hAnsi="黑体" w:eastAsia="黑体" w:cs="Arial"/>
          <w:kern w:val="10"/>
          <w:sz w:val="32"/>
          <w:szCs w:val="32"/>
          <w:lang w:val="en-US" w:eastAsia="zh-CN"/>
        </w:rPr>
        <w:t>二、建设内容及技术方案</w:t>
      </w:r>
    </w:p>
    <w:p w14:paraId="7EED8BAD">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1、建设内容</w:t>
      </w:r>
    </w:p>
    <w:p w14:paraId="5584AB23">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通过新增无纸化会议系统，使参会人员能够在无纸化会议平板上进行对应会议资料的阅览、批注。考虑到会议室内桌面较长，为方便参会人员电子设备的使用，在桌面上加装移动插座与可收缩网线，在保证开会时相关电子设备能够便捷地正常连接使用的同时，也能够确保不开会时桌面的整洁美观。（为保障桌面常态化整洁，可选无纸化会议终端连接电源线采用隐藏式部署，无纸化终端固定部署）。</w:t>
      </w:r>
    </w:p>
    <w:p w14:paraId="5BD889CD">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系统功能简要介绍</w:t>
      </w:r>
    </w:p>
    <w:p w14:paraId="74F7283A">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本次设计主要为无纸化会议系统及配套。</w:t>
      </w:r>
    </w:p>
    <w:p w14:paraId="1B96C263">
      <w:pPr>
        <w:spacing w:line="579" w:lineRule="exact"/>
        <w:ind w:firstLine="420" w:firstLineChars="200"/>
        <w:rPr>
          <w:rFonts w:hint="eastAsia" w:ascii="仿宋_GB2312" w:hAnsi="Calibri" w:eastAsia="仿宋_GB2312" w:cs="Arial"/>
          <w:kern w:val="10"/>
          <w:sz w:val="32"/>
          <w:szCs w:val="32"/>
          <w:lang w:val="en-US" w:eastAsia="zh-CN"/>
        </w:rPr>
      </w:pPr>
      <w:r>
        <w:drawing>
          <wp:anchor distT="0" distB="0" distL="114300" distR="114300" simplePos="0" relativeHeight="251660288" behindDoc="0" locked="0" layoutInCell="1" allowOverlap="1">
            <wp:simplePos x="0" y="0"/>
            <wp:positionH relativeFrom="column">
              <wp:posOffset>240030</wp:posOffset>
            </wp:positionH>
            <wp:positionV relativeFrom="paragraph">
              <wp:posOffset>539750</wp:posOffset>
            </wp:positionV>
            <wp:extent cx="5197475" cy="6186170"/>
            <wp:effectExtent l="0" t="0" r="3175" b="508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197475" cy="6186170"/>
                    </a:xfrm>
                    <a:prstGeom prst="rect">
                      <a:avLst/>
                    </a:prstGeom>
                    <a:noFill/>
                    <a:ln>
                      <a:noFill/>
                    </a:ln>
                  </pic:spPr>
                </pic:pic>
              </a:graphicData>
            </a:graphic>
          </wp:anchor>
        </w:drawing>
      </w:r>
      <w:r>
        <w:rPr>
          <w:rFonts w:hint="eastAsia" w:ascii="仿宋_GB2312" w:hAnsi="Calibri" w:eastAsia="仿宋_GB2312" w:cs="Arial"/>
          <w:kern w:val="10"/>
          <w:sz w:val="32"/>
          <w:szCs w:val="32"/>
          <w:lang w:val="en-US" w:eastAsia="zh-CN"/>
        </w:rPr>
        <w:t>具体桌面布置图如下：</w:t>
      </w:r>
    </w:p>
    <w:p w14:paraId="55087E61">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采用前屏幕可旋转式的桌面一体式双屏会议终端：平板、电子名牌二合一，前屏幕可90°旋转，旋转后显示屏部分为一个标准A4纸尺寸，符合人们对文档文件的观看习惯。标配电子笔，使参会人员能依据书写习惯对文件进行批注。触控屏标配手笔分离功能，屏幕具备智能识别触控它的是手还是笔，实现提笔就写，用手可直接翻页。</w:t>
      </w:r>
    </w:p>
    <w:p w14:paraId="15B7644A">
      <w:pPr>
        <w:spacing w:line="579" w:lineRule="exact"/>
        <w:ind w:firstLine="643" w:firstLineChars="200"/>
        <w:jc w:val="center"/>
        <w:rPr>
          <w:rFonts w:hint="eastAsia" w:ascii="仿宋_GB2312" w:hAnsi="Calibri" w:eastAsia="仿宋_GB2312" w:cs="Arial"/>
          <w:b/>
          <w:bCs/>
          <w:kern w:val="10"/>
          <w:sz w:val="32"/>
          <w:szCs w:val="32"/>
          <w:lang w:val="en-US" w:eastAsia="zh-CN"/>
        </w:rPr>
      </w:pPr>
      <w:r>
        <w:rPr>
          <w:rFonts w:hint="default" w:ascii="仿宋_GB2312" w:hAnsi="Calibri" w:eastAsia="仿宋_GB2312" w:cs="Arial"/>
          <w:b/>
          <w:bCs/>
          <w:kern w:val="10"/>
          <w:sz w:val="32"/>
          <w:szCs w:val="32"/>
          <w:lang w:val="en-US" w:eastAsia="zh-CN"/>
        </w:rPr>
        <w:drawing>
          <wp:anchor distT="0" distB="0" distL="114300" distR="114300" simplePos="0" relativeHeight="251663360" behindDoc="0" locked="0" layoutInCell="1" allowOverlap="1">
            <wp:simplePos x="0" y="0"/>
            <wp:positionH relativeFrom="column">
              <wp:posOffset>4385945</wp:posOffset>
            </wp:positionH>
            <wp:positionV relativeFrom="paragraph">
              <wp:posOffset>132715</wp:posOffset>
            </wp:positionV>
            <wp:extent cx="1600835" cy="1830705"/>
            <wp:effectExtent l="0" t="0" r="24765" b="23495"/>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1600835" cy="1830705"/>
                    </a:xfrm>
                    <a:prstGeom prst="rect">
                      <a:avLst/>
                    </a:prstGeom>
                    <a:noFill/>
                    <a:ln>
                      <a:noFill/>
                    </a:ln>
                  </pic:spPr>
                </pic:pic>
              </a:graphicData>
            </a:graphic>
          </wp:anchor>
        </w:drawing>
      </w:r>
      <w:r>
        <w:rPr>
          <w:rFonts w:hint="default" w:ascii="仿宋_GB2312" w:hAnsi="Calibri" w:eastAsia="仿宋_GB2312" w:cs="Arial"/>
          <w:b/>
          <w:bCs/>
          <w:kern w:val="10"/>
          <w:sz w:val="32"/>
          <w:szCs w:val="32"/>
          <w:lang w:val="en-US" w:eastAsia="zh-CN"/>
        </w:rPr>
        <w:drawing>
          <wp:anchor distT="0" distB="0" distL="114300" distR="114300" simplePos="0" relativeHeight="251662336" behindDoc="0" locked="0" layoutInCell="1" allowOverlap="1">
            <wp:simplePos x="0" y="0"/>
            <wp:positionH relativeFrom="column">
              <wp:posOffset>2221865</wp:posOffset>
            </wp:positionH>
            <wp:positionV relativeFrom="paragraph">
              <wp:posOffset>209550</wp:posOffset>
            </wp:positionV>
            <wp:extent cx="1664970" cy="1641475"/>
            <wp:effectExtent l="0" t="0" r="11430" b="9525"/>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1664970" cy="1641475"/>
                    </a:xfrm>
                    <a:prstGeom prst="rect">
                      <a:avLst/>
                    </a:prstGeom>
                    <a:noFill/>
                    <a:ln>
                      <a:noFill/>
                    </a:ln>
                  </pic:spPr>
                </pic:pic>
              </a:graphicData>
            </a:graphic>
          </wp:anchor>
        </w:drawing>
      </w:r>
      <w:r>
        <w:rPr>
          <w:rFonts w:hint="default" w:ascii="仿宋_GB2312" w:hAnsi="Calibri" w:eastAsia="仿宋_GB2312" w:cs="Arial"/>
          <w:b/>
          <w:bCs/>
          <w:kern w:val="10"/>
          <w:sz w:val="32"/>
          <w:szCs w:val="32"/>
          <w:lang w:val="en-US" w:eastAsia="zh-CN"/>
        </w:rPr>
        <w:drawing>
          <wp:anchor distT="0" distB="0" distL="114300" distR="114300" simplePos="0" relativeHeight="251661312" behindDoc="0" locked="0" layoutInCell="1" allowOverlap="1">
            <wp:simplePos x="0" y="0"/>
            <wp:positionH relativeFrom="column">
              <wp:posOffset>-6350</wp:posOffset>
            </wp:positionH>
            <wp:positionV relativeFrom="paragraph">
              <wp:posOffset>205740</wp:posOffset>
            </wp:positionV>
            <wp:extent cx="1905000" cy="1529715"/>
            <wp:effectExtent l="0" t="0" r="0" b="19685"/>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stretch>
                      <a:fillRect/>
                    </a:stretch>
                  </pic:blipFill>
                  <pic:spPr>
                    <a:xfrm>
                      <a:off x="0" y="0"/>
                      <a:ext cx="1905000" cy="1529715"/>
                    </a:xfrm>
                    <a:prstGeom prst="rect">
                      <a:avLst/>
                    </a:prstGeom>
                    <a:noFill/>
                    <a:ln>
                      <a:noFill/>
                    </a:ln>
                  </pic:spPr>
                </pic:pic>
              </a:graphicData>
            </a:graphic>
          </wp:anchor>
        </w:drawing>
      </w:r>
      <w:r>
        <w:rPr>
          <w:rFonts w:hint="eastAsia" w:ascii="仿宋_GB2312" w:hAnsi="Calibri" w:eastAsia="仿宋_GB2312" w:cs="Arial"/>
          <w:b/>
          <w:bCs/>
          <w:kern w:val="10"/>
          <w:sz w:val="32"/>
          <w:szCs w:val="32"/>
          <w:lang w:val="en-US" w:eastAsia="zh-CN"/>
        </w:rPr>
        <w:t>终端多角度示意图</w:t>
      </w:r>
    </w:p>
    <w:p w14:paraId="0813DC31">
      <w:pPr>
        <w:spacing w:line="579" w:lineRule="exact"/>
        <w:ind w:firstLine="640" w:firstLineChars="200"/>
        <w:rPr>
          <w:rFonts w:hint="eastAsia" w:ascii="仿宋_GB2312" w:hAnsi="Calibri" w:eastAsia="仿宋_GB2312" w:cs="Arial"/>
          <w:kern w:val="10"/>
          <w:sz w:val="32"/>
          <w:szCs w:val="32"/>
          <w:lang w:val="en-US" w:eastAsia="zh-CN"/>
        </w:rPr>
      </w:pPr>
    </w:p>
    <w:p w14:paraId="4BAEAC89">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结合会议室内能够自由落座使用终端的需求，配置桌面滑轨插座与收缩网线用以满足设备连接的功能。桌面滑轨插座的变压器头可在轨道上任意滑动，从而满足不同位置的设备供电需求。同时，在每个座位前都预留了一套收缩网线。在不开会的时候网线处于收缩状态，仅有网线头预留在桌面上。当会议室需要开会时，参会人员可将预留在桌面上的网线头拉出进行设备连接。</w:t>
      </w:r>
    </w:p>
    <w:p w14:paraId="244BCB2D">
      <w:pPr>
        <w:spacing w:line="579" w:lineRule="exact"/>
        <w:ind w:firstLine="420" w:firstLineChars="200"/>
        <w:jc w:val="center"/>
        <w:rPr>
          <w:rFonts w:hint="eastAsia" w:ascii="仿宋_GB2312" w:hAnsi="Calibri" w:eastAsia="仿宋_GB2312" w:cs="Arial"/>
          <w:kern w:val="10"/>
          <w:sz w:val="32"/>
          <w:szCs w:val="32"/>
          <w:lang w:val="en-US" w:eastAsia="zh-CN"/>
        </w:rPr>
      </w:pPr>
      <w:r>
        <w:drawing>
          <wp:anchor distT="0" distB="0" distL="114300" distR="114300" simplePos="0" relativeHeight="251659264" behindDoc="0" locked="0" layoutInCell="1" allowOverlap="1">
            <wp:simplePos x="0" y="0"/>
            <wp:positionH relativeFrom="column">
              <wp:posOffset>320675</wp:posOffset>
            </wp:positionH>
            <wp:positionV relativeFrom="paragraph">
              <wp:posOffset>123825</wp:posOffset>
            </wp:positionV>
            <wp:extent cx="4931410" cy="1045210"/>
            <wp:effectExtent l="0" t="0" r="2540" b="254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931410" cy="1045210"/>
                    </a:xfrm>
                    <a:prstGeom prst="rect">
                      <a:avLst/>
                    </a:prstGeom>
                    <a:noFill/>
                    <a:ln>
                      <a:noFill/>
                    </a:ln>
                  </pic:spPr>
                </pic:pic>
              </a:graphicData>
            </a:graphic>
          </wp:anchor>
        </w:drawing>
      </w:r>
      <w:r>
        <w:rPr>
          <w:rFonts w:hint="eastAsia" w:ascii="仿宋_GB2312" w:hAnsi="Calibri" w:eastAsia="仿宋_GB2312" w:cs="Arial"/>
          <w:kern w:val="10"/>
          <w:sz w:val="32"/>
          <w:szCs w:val="32"/>
          <w:lang w:val="en-US" w:eastAsia="zh-CN"/>
        </w:rPr>
        <w:t>滑轨插座（示意图）</w:t>
      </w:r>
    </w:p>
    <w:p w14:paraId="1A9F81EB">
      <w:pPr>
        <w:spacing w:line="579" w:lineRule="exact"/>
        <w:ind w:firstLine="640" w:firstLineChars="200"/>
        <w:jc w:val="center"/>
        <w:rPr>
          <w:rFonts w:hint="eastAsia" w:ascii="仿宋_GB2312" w:hAnsi="Calibri" w:eastAsia="仿宋_GB2312" w:cs="Arial"/>
          <w:kern w:val="10"/>
          <w:sz w:val="32"/>
          <w:szCs w:val="32"/>
          <w:lang w:val="en-US" w:eastAsia="zh-CN"/>
        </w:rPr>
      </w:pPr>
    </w:p>
    <w:p w14:paraId="17B11885">
      <w:pPr>
        <w:spacing w:line="579" w:lineRule="exact"/>
        <w:ind w:firstLine="640" w:firstLineChars="200"/>
        <w:jc w:val="both"/>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将无纸化管理平台软件部署于大学划分的虚拟机上，无纸化终端摆放位置不受限。整体设计可达到的功能效果流程如下：</w:t>
      </w:r>
    </w:p>
    <w:p w14:paraId="4C92311A">
      <w:pPr>
        <w:spacing w:line="579" w:lineRule="exact"/>
        <w:ind w:firstLine="643" w:firstLineChars="200"/>
        <w:jc w:val="both"/>
        <w:rPr>
          <w:rFonts w:hint="eastAsia" w:ascii="仿宋_GB2312" w:hAnsi="Calibri" w:eastAsia="仿宋_GB2312" w:cs="Arial"/>
          <w:b/>
          <w:bCs/>
          <w:kern w:val="10"/>
          <w:sz w:val="32"/>
          <w:szCs w:val="32"/>
          <w:lang w:val="en-US" w:eastAsia="zh-CN"/>
        </w:rPr>
      </w:pPr>
      <w:r>
        <w:rPr>
          <w:rFonts w:hint="eastAsia" w:ascii="仿宋_GB2312" w:hAnsi="Calibri" w:eastAsia="仿宋_GB2312" w:cs="Arial"/>
          <w:b/>
          <w:bCs/>
          <w:kern w:val="10"/>
          <w:sz w:val="32"/>
          <w:szCs w:val="32"/>
          <w:lang w:val="en-US" w:eastAsia="zh-CN"/>
        </w:rPr>
        <w:t>会议准备阶段：</w:t>
      </w:r>
    </w:p>
    <w:p w14:paraId="7540427D">
      <w:pPr>
        <w:spacing w:line="579" w:lineRule="exact"/>
        <w:ind w:firstLine="640" w:firstLineChars="200"/>
        <w:jc w:val="both"/>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会议组织者在部署了无纸化管理平台软件的虚拟机同一局域网内的任意电脑上发起会议，发起会议时可对会议主题、参会人员、会议议程及对应议程下所需的会议资料等内容进行上传与设置。</w:t>
      </w:r>
      <w:r>
        <w:rPr>
          <w:rFonts w:hint="eastAsia" w:ascii="仿宋_GB2312" w:hAnsi="Calibri" w:eastAsia="仿宋_GB2312" w:cs="Arial"/>
          <w:kern w:val="10"/>
          <w:sz w:val="32"/>
          <w:szCs w:val="32"/>
          <w:highlight w:val="none"/>
          <w:lang w:val="en-US" w:eastAsia="zh-CN"/>
        </w:rPr>
        <w:t>之后，会议组织者通过滑轨插座与预留在桌面上的网线头进行设备的简单连接后即可开始会议。</w:t>
      </w:r>
    </w:p>
    <w:p w14:paraId="625E2327">
      <w:pPr>
        <w:spacing w:line="579" w:lineRule="exact"/>
        <w:ind w:firstLine="643" w:firstLineChars="200"/>
        <w:jc w:val="both"/>
        <w:rPr>
          <w:rFonts w:hint="eastAsia" w:ascii="仿宋_GB2312" w:hAnsi="Calibri" w:eastAsia="仿宋_GB2312" w:cs="Arial"/>
          <w:b/>
          <w:bCs/>
          <w:kern w:val="10"/>
          <w:sz w:val="32"/>
          <w:szCs w:val="32"/>
          <w:lang w:val="en-US" w:eastAsia="zh-CN"/>
        </w:rPr>
      </w:pPr>
      <w:r>
        <w:rPr>
          <w:rFonts w:hint="eastAsia" w:ascii="仿宋_GB2312" w:hAnsi="Calibri" w:eastAsia="仿宋_GB2312" w:cs="Arial"/>
          <w:b/>
          <w:bCs/>
          <w:kern w:val="10"/>
          <w:sz w:val="32"/>
          <w:szCs w:val="32"/>
          <w:lang w:val="en-US" w:eastAsia="zh-CN"/>
        </w:rPr>
        <w:t>会议进行阶段：</w:t>
      </w:r>
    </w:p>
    <w:p w14:paraId="277FD14A">
      <w:pPr>
        <w:spacing w:line="579" w:lineRule="exact"/>
        <w:ind w:firstLine="640" w:firstLineChars="200"/>
        <w:jc w:val="both"/>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会议过程中，参会人员可对会议议程及对应会议资料任何格式的文件进行批注、自由阅览，具备批注导航功能，可以便捷查询自己批注的文件和内容。同时，也可以由会议发起时确定好的主讲人进行一键同屏，统一进行批注阅览。</w:t>
      </w:r>
    </w:p>
    <w:p w14:paraId="720E23CC">
      <w:pPr>
        <w:spacing w:line="579" w:lineRule="exact"/>
        <w:ind w:firstLine="640" w:firstLineChars="200"/>
        <w:jc w:val="both"/>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参会专家同时具备评审意见书写功能，参会人员浏览文件时，可在文件任意位置选评审意见选项，自定义输入针对此份文件的评审意见，以不同字体颜色呈现，评审结束后自动归档。</w:t>
      </w:r>
    </w:p>
    <w:p w14:paraId="75418773">
      <w:pPr>
        <w:spacing w:line="579" w:lineRule="exact"/>
        <w:ind w:firstLine="643" w:firstLineChars="200"/>
        <w:jc w:val="both"/>
        <w:rPr>
          <w:rFonts w:hint="eastAsia" w:ascii="仿宋_GB2312" w:hAnsi="Calibri" w:eastAsia="仿宋_GB2312" w:cs="Arial"/>
          <w:b/>
          <w:bCs/>
          <w:kern w:val="10"/>
          <w:sz w:val="32"/>
          <w:szCs w:val="32"/>
          <w:lang w:val="en-US" w:eastAsia="zh-CN"/>
        </w:rPr>
      </w:pPr>
      <w:r>
        <w:rPr>
          <w:rFonts w:hint="eastAsia" w:ascii="仿宋_GB2312" w:hAnsi="Calibri" w:eastAsia="仿宋_GB2312" w:cs="Arial"/>
          <w:b/>
          <w:bCs/>
          <w:kern w:val="10"/>
          <w:sz w:val="32"/>
          <w:szCs w:val="32"/>
          <w:lang w:val="en-US" w:eastAsia="zh-CN"/>
        </w:rPr>
        <w:t>会议结束后：</w:t>
      </w:r>
    </w:p>
    <w:p w14:paraId="3496FB2A">
      <w:pPr>
        <w:spacing w:line="579" w:lineRule="exact"/>
        <w:ind w:firstLine="640" w:firstLineChars="200"/>
        <w:rPr>
          <w:rFonts w:hint="default"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会议组织者</w:t>
      </w:r>
      <w:r>
        <w:rPr>
          <w:rFonts w:hint="eastAsia" w:ascii="仿宋_GB2312" w:hAnsi="Calibri" w:eastAsia="仿宋_GB2312" w:cs="Arial"/>
          <w:kern w:val="10"/>
          <w:sz w:val="32"/>
          <w:szCs w:val="32"/>
          <w:lang w:val="zh-CN" w:eastAsia="zh-CN"/>
        </w:rPr>
        <w:t>可选需要保存的内容，包括会议信息、批注文件、</w:t>
      </w:r>
      <w:r>
        <w:rPr>
          <w:rFonts w:hint="eastAsia" w:ascii="仿宋_GB2312" w:hAnsi="Calibri" w:eastAsia="仿宋_GB2312" w:cs="Arial"/>
          <w:kern w:val="10"/>
          <w:sz w:val="32"/>
          <w:szCs w:val="32"/>
          <w:lang w:val="en-US" w:eastAsia="zh-CN"/>
        </w:rPr>
        <w:t>文档评分信息、评审意见</w:t>
      </w:r>
      <w:r>
        <w:rPr>
          <w:rFonts w:hint="eastAsia" w:ascii="仿宋_GB2312" w:hAnsi="Calibri" w:eastAsia="仿宋_GB2312" w:cs="Arial"/>
          <w:kern w:val="10"/>
          <w:sz w:val="32"/>
          <w:szCs w:val="32"/>
          <w:lang w:val="zh-CN" w:eastAsia="zh-CN"/>
        </w:rPr>
        <w:t>等；可保存为文件夹目录、可保存为压缩包；批注过的会议文件自动上传到</w:t>
      </w:r>
      <w:r>
        <w:rPr>
          <w:rFonts w:hint="eastAsia" w:ascii="仿宋_GB2312" w:hAnsi="Calibri" w:eastAsia="仿宋_GB2312" w:cs="Arial"/>
          <w:kern w:val="10"/>
          <w:sz w:val="32"/>
          <w:szCs w:val="32"/>
          <w:lang w:val="en-US" w:eastAsia="zh-CN"/>
        </w:rPr>
        <w:t>虚拟机</w:t>
      </w:r>
      <w:r>
        <w:rPr>
          <w:rFonts w:hint="eastAsia" w:ascii="仿宋_GB2312" w:hAnsi="Calibri" w:eastAsia="仿宋_GB2312" w:cs="Arial"/>
          <w:kern w:val="10"/>
          <w:sz w:val="32"/>
          <w:szCs w:val="32"/>
          <w:lang w:val="zh-CN" w:eastAsia="zh-CN"/>
        </w:rPr>
        <w:t>。</w:t>
      </w:r>
      <w:r>
        <w:rPr>
          <w:rFonts w:hint="eastAsia" w:ascii="仿宋_GB2312" w:hAnsi="Calibri" w:eastAsia="仿宋_GB2312" w:cs="Arial"/>
          <w:kern w:val="10"/>
          <w:sz w:val="32"/>
          <w:szCs w:val="32"/>
          <w:lang w:val="en-US" w:eastAsia="zh-CN"/>
        </w:rPr>
        <w:t>管理人员可通过访问虚拟机进行相关文件的下载保存或删除销毁。</w:t>
      </w:r>
    </w:p>
    <w:p w14:paraId="26390764">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3" w:firstLineChars="200"/>
        <w:textAlignment w:val="auto"/>
        <w:rPr>
          <w:rFonts w:hint="default" w:ascii="仿宋_GB2312" w:hAnsi="Calibri" w:eastAsia="仿宋_GB2312" w:cs="Arial"/>
          <w:b/>
          <w:bCs/>
          <w:kern w:val="10"/>
          <w:sz w:val="32"/>
          <w:szCs w:val="32"/>
          <w:lang w:val="en-US" w:eastAsia="zh-CN"/>
        </w:rPr>
      </w:pPr>
      <w:r>
        <w:rPr>
          <w:rFonts w:hint="eastAsia" w:ascii="仿宋_GB2312" w:hAnsi="Calibri" w:eastAsia="仿宋_GB2312" w:cs="Arial"/>
          <w:b/>
          <w:bCs/>
          <w:kern w:val="10"/>
          <w:sz w:val="32"/>
          <w:szCs w:val="32"/>
          <w:lang w:val="en-US" w:eastAsia="zh-CN"/>
        </w:rPr>
        <w:t>系统功能详细介绍</w:t>
      </w:r>
    </w:p>
    <w:p w14:paraId="34DFD233">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无纸化会议系统包含9台无纸化桌面会议单元及配套操作软件、1套无纸化平台软件、1台24口交换机（大学原有）。</w:t>
      </w:r>
    </w:p>
    <w:p w14:paraId="7471A2CA">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其中，无纸化平台软件部署在大学提供的虚拟机上，从而实现无纸化会议的管理与相关会议资料的分发功能。具体会议功能如下：</w:t>
      </w:r>
    </w:p>
    <w:p w14:paraId="14DBBE94">
      <w:pPr>
        <w:spacing w:line="579" w:lineRule="exact"/>
        <w:ind w:firstLine="640" w:firstLineChars="200"/>
        <w:rPr>
          <w:rFonts w:hint="default"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1）会前筹备工作</w:t>
      </w:r>
    </w:p>
    <w:p w14:paraId="096DF9B2">
      <w:p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由同一局域网内的电脑进行会议准备工作。</w:t>
      </w:r>
    </w:p>
    <w:p w14:paraId="0297CD8E">
      <w:pPr>
        <w:spacing w:line="579" w:lineRule="exact"/>
        <w:ind w:firstLine="643" w:firstLineChars="200"/>
      </w:pPr>
      <w:bookmarkStart w:id="0" w:name="_Toc19420"/>
      <w:bookmarkStart w:id="1" w:name="_Toc28922"/>
      <w:r>
        <w:rPr>
          <w:rFonts w:hint="eastAsia" w:ascii="仿宋_GB2312" w:hAnsi="Calibri" w:eastAsia="仿宋_GB2312" w:cs="Arial"/>
          <w:b/>
          <w:bCs/>
          <w:kern w:val="10"/>
          <w:sz w:val="32"/>
          <w:szCs w:val="32"/>
          <w:lang w:val="en-US" w:eastAsia="zh-CN"/>
        </w:rPr>
        <w:t>管理员角色划分：</w:t>
      </w:r>
      <w:bookmarkEnd w:id="0"/>
      <w:bookmarkEnd w:id="1"/>
      <w:r>
        <w:rPr>
          <w:rFonts w:hint="eastAsia" w:ascii="仿宋_GB2312" w:hAnsi="Calibri" w:eastAsia="仿宋_GB2312" w:cs="Arial"/>
          <w:kern w:val="10"/>
          <w:sz w:val="32"/>
          <w:szCs w:val="32"/>
          <w:lang w:val="en-US" w:eastAsia="zh-CN"/>
        </w:rPr>
        <w:t>会务人员（进行会议的前期准备工作的工作人员账户）、审核人员（属于审核会务人员会议预约审核工作的工作人员）。</w:t>
      </w:r>
    </w:p>
    <w:p w14:paraId="699C9095">
      <w:pPr>
        <w:spacing w:line="579" w:lineRule="exact"/>
        <w:ind w:firstLine="643" w:firstLineChars="200"/>
        <w:rPr>
          <w:rFonts w:cs="等线"/>
        </w:rPr>
      </w:pPr>
      <w:bookmarkStart w:id="2" w:name="_Toc30906"/>
      <w:bookmarkStart w:id="3" w:name="_Toc8674"/>
      <w:r>
        <w:rPr>
          <w:rFonts w:hint="eastAsia" w:ascii="仿宋_GB2312" w:hAnsi="Calibri" w:eastAsia="仿宋_GB2312" w:cs="Arial"/>
          <w:b/>
          <w:bCs/>
          <w:kern w:val="10"/>
          <w:sz w:val="32"/>
          <w:szCs w:val="32"/>
          <w:lang w:val="en-US" w:eastAsia="zh-CN"/>
        </w:rPr>
        <w:t>参会人员信息编辑：</w:t>
      </w:r>
      <w:r>
        <w:rPr>
          <w:rFonts w:hint="eastAsia" w:ascii="仿宋_GB2312" w:hAnsi="Calibri" w:eastAsia="仿宋_GB2312" w:cs="Arial"/>
          <w:kern w:val="10"/>
          <w:sz w:val="32"/>
          <w:szCs w:val="32"/>
          <w:lang w:val="en-US" w:eastAsia="zh-CN"/>
        </w:rPr>
        <w:t>可直接编辑excel表（部门、职务、姓名、编号等）批量导入设置参会人员信息</w:t>
      </w:r>
      <w:bookmarkEnd w:id="2"/>
      <w:bookmarkEnd w:id="3"/>
      <w:r>
        <w:rPr>
          <w:rFonts w:hint="eastAsia" w:ascii="仿宋_GB2312" w:hAnsi="Calibri" w:eastAsia="仿宋_GB2312" w:cs="Arial"/>
          <w:kern w:val="10"/>
          <w:sz w:val="32"/>
          <w:szCs w:val="32"/>
          <w:lang w:val="en-US" w:eastAsia="zh-CN"/>
        </w:rPr>
        <w:t>，并按会场实际席位分布图安排参会人员的席位。</w:t>
      </w:r>
    </w:p>
    <w:p w14:paraId="5C9FA7BB">
      <w:pPr>
        <w:spacing w:line="579" w:lineRule="exact"/>
        <w:ind w:firstLine="643" w:firstLineChars="200"/>
      </w:pPr>
      <w:r>
        <w:rPr>
          <w:rFonts w:hint="eastAsia" w:ascii="仿宋_GB2312" w:hAnsi="Calibri" w:eastAsia="仿宋_GB2312" w:cs="Arial"/>
          <w:b/>
          <w:bCs/>
          <w:kern w:val="10"/>
          <w:sz w:val="32"/>
          <w:szCs w:val="32"/>
          <w:lang w:val="en-US" w:eastAsia="zh-CN"/>
        </w:rPr>
        <w:t>支持预置多场会议：</w:t>
      </w:r>
      <w:r>
        <w:rPr>
          <w:rFonts w:hint="eastAsia" w:ascii="仿宋_GB2312" w:hAnsi="Calibri" w:eastAsia="仿宋_GB2312" w:cs="Arial"/>
          <w:kern w:val="10"/>
          <w:sz w:val="32"/>
          <w:szCs w:val="32"/>
          <w:lang w:val="en-US" w:eastAsia="zh-CN"/>
        </w:rPr>
        <w:t>根据实际会议情况分别上传本会议室中各个会议的参会人员、会议文件、欢迎页界面，设置会议标语等。</w:t>
      </w:r>
    </w:p>
    <w:p w14:paraId="4F73423A">
      <w:pPr>
        <w:spacing w:line="579" w:lineRule="exact"/>
        <w:ind w:firstLine="643" w:firstLineChars="200"/>
        <w:rPr>
          <w:rFonts w:hint="eastAsia" w:ascii="仿宋_GB2312" w:hAnsi="Calibri" w:eastAsia="仿宋_GB2312" w:cs="Arial"/>
          <w:kern w:val="10"/>
          <w:sz w:val="32"/>
          <w:szCs w:val="32"/>
          <w:lang w:val="en-US" w:eastAsia="zh-CN"/>
        </w:rPr>
      </w:pPr>
      <w:bookmarkStart w:id="4" w:name="_Toc12638"/>
      <w:bookmarkStart w:id="5" w:name="_Toc6551"/>
      <w:r>
        <w:rPr>
          <w:rFonts w:hint="eastAsia" w:ascii="仿宋_GB2312" w:hAnsi="Calibri" w:eastAsia="仿宋_GB2312" w:cs="Arial"/>
          <w:b/>
          <w:bCs/>
          <w:kern w:val="10"/>
          <w:sz w:val="32"/>
          <w:szCs w:val="32"/>
          <w:lang w:val="en-US" w:eastAsia="zh-CN"/>
        </w:rPr>
        <w:t>建立议程议题</w:t>
      </w:r>
      <w:bookmarkEnd w:id="4"/>
      <w:bookmarkEnd w:id="5"/>
      <w:r>
        <w:rPr>
          <w:rFonts w:hint="eastAsia" w:ascii="仿宋_GB2312" w:hAnsi="Calibri" w:eastAsia="仿宋_GB2312" w:cs="Arial"/>
          <w:b/>
          <w:bCs/>
          <w:kern w:val="10"/>
          <w:sz w:val="32"/>
          <w:szCs w:val="32"/>
          <w:lang w:val="en-US" w:eastAsia="zh-CN"/>
        </w:rPr>
        <w:t>：</w:t>
      </w:r>
      <w:r>
        <w:rPr>
          <w:rFonts w:hint="eastAsia" w:ascii="仿宋_GB2312" w:hAnsi="Calibri" w:eastAsia="仿宋_GB2312" w:cs="Arial"/>
          <w:kern w:val="10"/>
          <w:sz w:val="32"/>
          <w:szCs w:val="32"/>
          <w:lang w:val="en-US" w:eastAsia="zh-CN"/>
        </w:rPr>
        <w:t>添加议题名称及子议题名称，每个议题下都可以上传会议文件，议题文件支持批量上传，包括 WORO、EXCEL、PPT、PDF、CAD 等，同时支持音视频格式MP3/WMA，支持图片格式 JPG/JPEG/BMP/GIF/PNG ，所有文件无需转换直接使用。</w:t>
      </w:r>
    </w:p>
    <w:p w14:paraId="6BFA3D1F">
      <w:pPr>
        <w:numPr>
          <w:ilvl w:val="0"/>
          <w:numId w:val="3"/>
        </w:numPr>
        <w:spacing w:line="579" w:lineRule="exact"/>
        <w:ind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会中控制</w:t>
      </w:r>
    </w:p>
    <w:p w14:paraId="6599370B">
      <w:pPr>
        <w:spacing w:line="579" w:lineRule="exact"/>
        <w:ind w:firstLine="643"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b/>
          <w:bCs/>
          <w:kern w:val="10"/>
          <w:sz w:val="32"/>
          <w:szCs w:val="32"/>
          <w:lang w:val="en-US" w:eastAsia="zh-CN"/>
        </w:rPr>
        <w:t>界面显示：</w:t>
      </w:r>
      <w:r>
        <w:rPr>
          <w:rFonts w:hint="eastAsia" w:ascii="仿宋_GB2312" w:hAnsi="Calibri" w:eastAsia="仿宋_GB2312" w:cs="Arial"/>
          <w:kern w:val="10"/>
          <w:sz w:val="32"/>
          <w:szCs w:val="32"/>
          <w:lang w:val="en-US" w:eastAsia="zh-CN"/>
        </w:rPr>
        <w:t>在欢迎界面中，将显示会议名称、参会人员信息、欢迎词等内容；</w:t>
      </w:r>
    </w:p>
    <w:p w14:paraId="7C305D66">
      <w:pPr>
        <w:spacing w:line="579" w:lineRule="exact"/>
        <w:ind w:firstLine="643"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b/>
          <w:bCs/>
          <w:kern w:val="10"/>
          <w:sz w:val="32"/>
          <w:szCs w:val="32"/>
          <w:lang w:val="en-US" w:eastAsia="zh-CN"/>
        </w:rPr>
        <w:t>签到功能：</w:t>
      </w:r>
      <w:r>
        <w:rPr>
          <w:rFonts w:hint="eastAsia" w:ascii="仿宋_GB2312" w:hAnsi="Calibri" w:eastAsia="仿宋_GB2312" w:cs="Arial"/>
          <w:kern w:val="10"/>
          <w:sz w:val="32"/>
          <w:szCs w:val="32"/>
          <w:lang w:val="en-US" w:eastAsia="zh-CN"/>
        </w:rPr>
        <w:t>触控点击进入会议并签到，支持密码签到、手写签到等多种签到方式。</w:t>
      </w:r>
    </w:p>
    <w:p w14:paraId="713A63BA">
      <w:pPr>
        <w:spacing w:line="579" w:lineRule="exact"/>
        <w:ind w:firstLine="643" w:firstLineChars="200"/>
        <w:rPr>
          <w:rFonts w:hint="eastAsia" w:ascii="仿宋_GB2312" w:hAnsi="Calibri" w:eastAsia="仿宋_GB2312" w:cs="Arial"/>
          <w:b/>
          <w:bCs/>
          <w:kern w:val="10"/>
          <w:sz w:val="32"/>
          <w:szCs w:val="32"/>
          <w:lang w:val="en-US" w:eastAsia="zh-CN"/>
        </w:rPr>
      </w:pPr>
      <w:bookmarkStart w:id="6" w:name="_Toc31260"/>
      <w:bookmarkStart w:id="7" w:name="_Toc23318"/>
      <w:r>
        <w:rPr>
          <w:rFonts w:hint="eastAsia" w:ascii="仿宋_GB2312" w:hAnsi="Calibri" w:eastAsia="仿宋_GB2312" w:cs="Arial"/>
          <w:b/>
          <w:bCs/>
          <w:kern w:val="10"/>
          <w:sz w:val="32"/>
          <w:szCs w:val="32"/>
          <w:lang w:val="en-US" w:eastAsia="zh-CN"/>
        </w:rPr>
        <w:t>一键同屏</w:t>
      </w:r>
      <w:bookmarkEnd w:id="6"/>
      <w:bookmarkEnd w:id="7"/>
      <w:r>
        <w:rPr>
          <w:rFonts w:hint="eastAsia" w:ascii="仿宋_GB2312" w:hAnsi="Calibri" w:eastAsia="仿宋_GB2312" w:cs="Arial"/>
          <w:b/>
          <w:bCs/>
          <w:kern w:val="10"/>
          <w:sz w:val="32"/>
          <w:szCs w:val="32"/>
          <w:lang w:val="en-US" w:eastAsia="zh-CN"/>
        </w:rPr>
        <w:t xml:space="preserve">： </w:t>
      </w:r>
    </w:p>
    <w:p w14:paraId="5C906134">
      <w:pPr>
        <w:spacing w:line="579" w:lineRule="exact"/>
        <w:ind w:firstLine="640" w:firstLineChars="200"/>
      </w:pPr>
      <w:r>
        <w:rPr>
          <w:rFonts w:hint="eastAsia" w:ascii="仿宋_GB2312" w:hAnsi="Calibri" w:eastAsia="仿宋_GB2312" w:cs="Arial"/>
          <w:kern w:val="10"/>
          <w:sz w:val="32"/>
          <w:szCs w:val="32"/>
          <w:lang w:val="en-US" w:eastAsia="zh-CN"/>
        </w:rPr>
        <w:t>会议的主讲人在任何一台终端（具备权限）可以使用‘一键同屏’功能将主讲人会议终端屏幕画面与其他会议终端同步，也可同步投射到大屏幕，让参会人快速进入主讲人的讲话内容。</w:t>
      </w:r>
      <w:r>
        <w:rPr>
          <w:rFonts w:hint="eastAsia"/>
        </w:rPr>
        <w:t xml:space="preserve">                                                                                                                                                                                                                                                                                                                                                                                                                                                                                                                                                                                                                                                                                                                                                                                                                                                                                                                                                                                                                                                                                                                                                                                                                                                                                                                                                                                                                                                                   </w:t>
      </w:r>
    </w:p>
    <w:p w14:paraId="2005DDFB">
      <w:pPr>
        <w:spacing w:line="579" w:lineRule="exact"/>
        <w:ind w:firstLine="643" w:firstLineChars="200"/>
      </w:pPr>
      <w:bookmarkStart w:id="8" w:name="_Toc23754"/>
      <w:bookmarkStart w:id="9" w:name="_Toc2473"/>
      <w:r>
        <w:rPr>
          <w:rFonts w:hint="eastAsia" w:ascii="仿宋_GB2312" w:hAnsi="Calibri" w:eastAsia="仿宋_GB2312" w:cs="Arial"/>
          <w:b/>
          <w:bCs/>
          <w:kern w:val="10"/>
          <w:sz w:val="32"/>
          <w:szCs w:val="32"/>
          <w:lang w:val="en-US" w:eastAsia="zh-CN"/>
        </w:rPr>
        <w:t>异步浏览</w:t>
      </w:r>
      <w:bookmarkEnd w:id="8"/>
      <w:bookmarkEnd w:id="9"/>
      <w:r>
        <w:rPr>
          <w:rFonts w:hint="eastAsia" w:ascii="仿宋_GB2312" w:hAnsi="Calibri" w:eastAsia="仿宋_GB2312" w:cs="Arial"/>
          <w:b/>
          <w:bCs/>
          <w:kern w:val="10"/>
          <w:sz w:val="32"/>
          <w:szCs w:val="32"/>
          <w:lang w:val="en-US" w:eastAsia="zh-CN"/>
        </w:rPr>
        <w:t>：</w:t>
      </w:r>
      <w:r>
        <w:rPr>
          <w:rFonts w:hint="eastAsia" w:ascii="仿宋_GB2312" w:hAnsi="Calibri" w:eastAsia="仿宋_GB2312" w:cs="Arial"/>
          <w:kern w:val="10"/>
          <w:sz w:val="32"/>
          <w:szCs w:val="32"/>
          <w:lang w:val="en-US" w:eastAsia="zh-CN"/>
        </w:rPr>
        <w:t>任何会议终端支持一键退出主讲人同步画面，参会人可以自主浏览、审阅、批注其他会议资料。例如下一主讲人提前熟悉文件内容，作好主讲准备。</w:t>
      </w:r>
    </w:p>
    <w:p w14:paraId="24EFD154">
      <w:pPr>
        <w:spacing w:line="579" w:lineRule="exact"/>
        <w:ind w:firstLine="643" w:firstLineChars="200"/>
        <w:rPr>
          <w:rFonts w:hint="eastAsia" w:ascii="仿宋_GB2312" w:hAnsi="Calibri" w:eastAsia="仿宋_GB2312" w:cs="Arial"/>
          <w:kern w:val="10"/>
          <w:sz w:val="32"/>
          <w:szCs w:val="32"/>
          <w:lang w:val="en-US" w:eastAsia="zh-CN"/>
        </w:rPr>
      </w:pPr>
      <w:bookmarkStart w:id="10" w:name="_Toc19879"/>
      <w:bookmarkStart w:id="11" w:name="_Toc761"/>
      <w:r>
        <w:rPr>
          <w:rFonts w:hint="eastAsia" w:ascii="仿宋_GB2312" w:hAnsi="Calibri" w:eastAsia="仿宋_GB2312" w:cs="Arial"/>
          <w:b/>
          <w:bCs/>
          <w:kern w:val="10"/>
          <w:sz w:val="32"/>
          <w:szCs w:val="32"/>
          <w:lang w:val="en-US" w:eastAsia="zh-CN"/>
        </w:rPr>
        <w:t>跟踪主讲</w:t>
      </w:r>
      <w:bookmarkEnd w:id="10"/>
      <w:bookmarkEnd w:id="11"/>
      <w:r>
        <w:rPr>
          <w:rFonts w:hint="eastAsia" w:ascii="仿宋_GB2312" w:hAnsi="Calibri" w:eastAsia="仿宋_GB2312" w:cs="Arial"/>
          <w:b/>
          <w:bCs/>
          <w:kern w:val="10"/>
          <w:sz w:val="32"/>
          <w:szCs w:val="32"/>
          <w:lang w:val="en-US" w:eastAsia="zh-CN"/>
        </w:rPr>
        <w:t>：</w:t>
      </w:r>
      <w:r>
        <w:rPr>
          <w:rFonts w:hint="eastAsia" w:ascii="仿宋_GB2312" w:hAnsi="Calibri" w:eastAsia="仿宋_GB2312" w:cs="Arial"/>
          <w:kern w:val="10"/>
          <w:sz w:val="32"/>
          <w:szCs w:val="32"/>
          <w:lang w:val="en-US" w:eastAsia="zh-CN"/>
        </w:rPr>
        <w:t>支持会议终端一键进入同屏状态；当参会者终端显示内容和主讲人不同步时，如参会者提前浏览自己关心的议题、文件后，可以一键进入同屏模式下接收主讲人的当前同步画面，快速跟进主讲人讲话主题。</w:t>
      </w:r>
    </w:p>
    <w:p w14:paraId="2D179D47">
      <w:pPr>
        <w:spacing w:line="579" w:lineRule="exact"/>
        <w:ind w:firstLine="643" w:firstLineChars="200"/>
        <w:rPr>
          <w:rFonts w:hint="eastAsia" w:ascii="仿宋_GB2312" w:hAnsi="Calibri" w:eastAsia="仿宋_GB2312" w:cs="Arial"/>
          <w:kern w:val="10"/>
          <w:sz w:val="32"/>
          <w:szCs w:val="32"/>
          <w:lang w:val="en-US" w:eastAsia="zh-CN"/>
        </w:rPr>
      </w:pPr>
      <w:bookmarkStart w:id="12" w:name="_Toc1452"/>
      <w:bookmarkStart w:id="13" w:name="_Toc9979"/>
      <w:r>
        <w:rPr>
          <w:rFonts w:hint="eastAsia" w:ascii="仿宋_GB2312" w:hAnsi="Calibri" w:eastAsia="仿宋_GB2312" w:cs="Arial"/>
          <w:b/>
          <w:bCs/>
          <w:kern w:val="10"/>
          <w:sz w:val="32"/>
          <w:szCs w:val="32"/>
          <w:lang w:val="en-US" w:eastAsia="zh-CN"/>
        </w:rPr>
        <w:t>文件批注</w:t>
      </w:r>
      <w:bookmarkEnd w:id="12"/>
      <w:bookmarkEnd w:id="13"/>
      <w:r>
        <w:rPr>
          <w:rFonts w:hint="eastAsia" w:ascii="仿宋_GB2312" w:hAnsi="Calibri" w:eastAsia="仿宋_GB2312" w:cs="Arial"/>
          <w:b/>
          <w:bCs/>
          <w:kern w:val="10"/>
          <w:sz w:val="32"/>
          <w:szCs w:val="32"/>
          <w:lang w:val="en-US" w:eastAsia="zh-CN"/>
        </w:rPr>
        <w:t>：</w:t>
      </w:r>
      <w:r>
        <w:rPr>
          <w:rFonts w:hint="eastAsia" w:ascii="仿宋_GB2312" w:hAnsi="Calibri" w:eastAsia="仿宋_GB2312" w:cs="Arial"/>
          <w:kern w:val="10"/>
          <w:sz w:val="32"/>
          <w:szCs w:val="32"/>
          <w:lang w:val="en-US" w:eastAsia="zh-CN"/>
        </w:rPr>
        <w:t>模拟传统会议签署文件，还原参会人员手写会议体验，让参会者能像在纸质文件上批注、修改一样在无纸化会议终端上展现；</w:t>
      </w:r>
    </w:p>
    <w:p w14:paraId="0C00D96B">
      <w:pPr>
        <w:numPr>
          <w:ilvl w:val="0"/>
          <w:numId w:val="3"/>
        </w:numPr>
        <w:spacing w:line="579" w:lineRule="exact"/>
        <w:ind w:left="0" w:leftChars="0"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会后文件管理与保存</w:t>
      </w:r>
    </w:p>
    <w:p w14:paraId="2488CCCA">
      <w:pPr>
        <w:spacing w:line="579" w:lineRule="exact"/>
        <w:ind w:firstLine="643" w:firstLineChars="200"/>
      </w:pPr>
      <w:bookmarkStart w:id="14" w:name="_Toc10850"/>
      <w:bookmarkStart w:id="15" w:name="_Toc24051"/>
      <w:r>
        <w:rPr>
          <w:rFonts w:hint="eastAsia" w:ascii="仿宋_GB2312" w:hAnsi="Calibri" w:eastAsia="仿宋_GB2312" w:cs="Arial"/>
          <w:b/>
          <w:bCs/>
          <w:kern w:val="10"/>
          <w:sz w:val="32"/>
          <w:szCs w:val="32"/>
          <w:lang w:val="zh-CN" w:eastAsia="zh-CN"/>
        </w:rPr>
        <w:t>保存会后资料</w:t>
      </w:r>
      <w:bookmarkEnd w:id="14"/>
      <w:bookmarkEnd w:id="15"/>
      <w:r>
        <w:rPr>
          <w:rFonts w:hint="eastAsia" w:ascii="仿宋_GB2312" w:hAnsi="Calibri" w:eastAsia="仿宋_GB2312" w:cs="Arial"/>
          <w:b/>
          <w:bCs/>
          <w:kern w:val="10"/>
          <w:sz w:val="32"/>
          <w:szCs w:val="32"/>
          <w:lang w:val="zh-CN" w:eastAsia="zh-CN"/>
        </w:rPr>
        <w:t>：</w:t>
      </w:r>
      <w:r>
        <w:rPr>
          <w:rFonts w:hint="eastAsia" w:ascii="仿宋_GB2312" w:hAnsi="Calibri" w:eastAsia="仿宋_GB2312" w:cs="Arial"/>
          <w:kern w:val="10"/>
          <w:sz w:val="32"/>
          <w:szCs w:val="32"/>
          <w:lang w:val="zh-CN" w:eastAsia="zh-CN"/>
        </w:rPr>
        <w:t>查询已召开的会议并保存</w:t>
      </w:r>
    </w:p>
    <w:p w14:paraId="7029CFBE">
      <w:pPr>
        <w:spacing w:line="579" w:lineRule="exact"/>
        <w:ind w:firstLine="643" w:firstLineChars="200"/>
        <w:rPr>
          <w:rFonts w:hint="eastAsia" w:ascii="仿宋_GB2312" w:hAnsi="Calibri" w:eastAsia="仿宋_GB2312" w:cs="Arial"/>
          <w:kern w:val="10"/>
          <w:sz w:val="32"/>
          <w:szCs w:val="32"/>
          <w:lang w:val="zh-CN" w:eastAsia="zh-CN"/>
        </w:rPr>
      </w:pPr>
      <w:r>
        <w:rPr>
          <w:rFonts w:hint="eastAsia" w:ascii="仿宋_GB2312" w:hAnsi="Calibri" w:eastAsia="仿宋_GB2312" w:cs="Arial"/>
          <w:b/>
          <w:bCs/>
          <w:kern w:val="10"/>
          <w:sz w:val="32"/>
          <w:szCs w:val="32"/>
          <w:lang w:val="zh-CN" w:eastAsia="zh-CN"/>
        </w:rPr>
        <w:t>会议归档：</w:t>
      </w:r>
      <w:r>
        <w:rPr>
          <w:rFonts w:hint="eastAsia" w:ascii="仿宋_GB2312" w:hAnsi="Calibri" w:eastAsia="仿宋_GB2312" w:cs="Arial"/>
          <w:kern w:val="10"/>
          <w:sz w:val="32"/>
          <w:szCs w:val="32"/>
          <w:lang w:val="zh-CN" w:eastAsia="zh-CN"/>
        </w:rPr>
        <w:t>可选需要保存的内容，包括会议信息、批注文件、</w:t>
      </w:r>
      <w:r>
        <w:rPr>
          <w:rFonts w:hint="eastAsia" w:ascii="仿宋_GB2312" w:hAnsi="Calibri" w:eastAsia="仿宋_GB2312" w:cs="Arial"/>
          <w:kern w:val="10"/>
          <w:sz w:val="32"/>
          <w:szCs w:val="32"/>
          <w:lang w:val="en-US" w:eastAsia="zh-CN"/>
        </w:rPr>
        <w:t>文档评分信息</w:t>
      </w:r>
      <w:r>
        <w:rPr>
          <w:rFonts w:hint="eastAsia" w:ascii="仿宋_GB2312" w:hAnsi="Calibri" w:eastAsia="仿宋_GB2312" w:cs="Arial"/>
          <w:kern w:val="10"/>
          <w:sz w:val="32"/>
          <w:szCs w:val="32"/>
          <w:lang w:val="zh-CN" w:eastAsia="zh-CN"/>
        </w:rPr>
        <w:t>等；</w:t>
      </w:r>
    </w:p>
    <w:p w14:paraId="44D4C444">
      <w:pPr>
        <w:spacing w:line="579" w:lineRule="exact"/>
        <w:ind w:firstLine="643" w:firstLineChars="200"/>
        <w:rPr>
          <w:rFonts w:hint="eastAsia" w:ascii="仿宋_GB2312" w:hAnsi="Calibri" w:eastAsia="仿宋_GB2312" w:cs="Arial"/>
          <w:kern w:val="10"/>
          <w:sz w:val="32"/>
          <w:szCs w:val="32"/>
          <w:lang w:val="en-US" w:eastAsia="zh-CN"/>
        </w:rPr>
      </w:pPr>
      <w:bookmarkStart w:id="16" w:name="_Toc26894"/>
      <w:bookmarkStart w:id="17" w:name="_Toc32115"/>
      <w:r>
        <w:rPr>
          <w:rFonts w:hint="eastAsia" w:ascii="仿宋_GB2312" w:hAnsi="Calibri" w:eastAsia="仿宋_GB2312" w:cs="Arial"/>
          <w:b/>
          <w:bCs/>
          <w:kern w:val="10"/>
          <w:sz w:val="32"/>
          <w:szCs w:val="32"/>
          <w:lang w:val="zh-CN" w:eastAsia="zh-CN"/>
        </w:rPr>
        <w:t>文件销毁</w:t>
      </w:r>
      <w:bookmarkEnd w:id="16"/>
      <w:bookmarkEnd w:id="17"/>
      <w:r>
        <w:rPr>
          <w:rFonts w:hint="eastAsia" w:ascii="仿宋_GB2312" w:hAnsi="Calibri" w:eastAsia="仿宋_GB2312" w:cs="Arial"/>
          <w:b/>
          <w:bCs/>
          <w:kern w:val="10"/>
          <w:sz w:val="32"/>
          <w:szCs w:val="32"/>
          <w:lang w:val="zh-CN" w:eastAsia="zh-CN"/>
        </w:rPr>
        <w:t>：</w:t>
      </w:r>
      <w:r>
        <w:rPr>
          <w:rFonts w:hint="eastAsia" w:ascii="仿宋_GB2312" w:hAnsi="Calibri" w:eastAsia="仿宋_GB2312" w:cs="Arial"/>
          <w:kern w:val="10"/>
          <w:sz w:val="32"/>
          <w:szCs w:val="32"/>
          <w:lang w:val="zh-CN" w:eastAsia="zh-CN"/>
        </w:rPr>
        <w:t>不保留任何会议信息，直接删除会议内容，且无法恢复。</w:t>
      </w:r>
    </w:p>
    <w:p w14:paraId="2F736E0B">
      <w:pPr>
        <w:numPr>
          <w:ilvl w:val="0"/>
          <w:numId w:val="3"/>
        </w:numPr>
        <w:spacing w:line="579" w:lineRule="exact"/>
        <w:ind w:left="0" w:leftChars="0" w:firstLine="640" w:firstLineChars="200"/>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t>配套设施</w:t>
      </w:r>
    </w:p>
    <w:p w14:paraId="4EEAFEAA">
      <w:pPr>
        <w:spacing w:line="579" w:lineRule="exact"/>
        <w:ind w:firstLine="640" w:firstLineChars="200"/>
        <w:rPr>
          <w:rFonts w:hint="eastAsia" w:ascii="仿宋_GB2312" w:hAnsi="Calibri" w:eastAsia="仿宋_GB2312" w:cs="Arial"/>
          <w:b w:val="0"/>
          <w:bCs w:val="0"/>
          <w:kern w:val="10"/>
          <w:sz w:val="32"/>
          <w:szCs w:val="32"/>
          <w:lang w:val="en-US" w:eastAsia="zh-CN"/>
        </w:rPr>
      </w:pPr>
      <w:r>
        <w:rPr>
          <w:rFonts w:hint="eastAsia" w:ascii="仿宋_GB2312" w:hAnsi="Calibri" w:eastAsia="仿宋_GB2312" w:cs="Arial"/>
          <w:b w:val="0"/>
          <w:bCs w:val="0"/>
          <w:kern w:val="10"/>
          <w:sz w:val="32"/>
          <w:szCs w:val="32"/>
          <w:lang w:val="en-US" w:eastAsia="zh-CN"/>
        </w:rPr>
        <w:t>购置桌面移动插座、收缩网线及配套移动收纳柜，使桌面线路连接更加灵活简洁，并在不需要召开会议时自动收纳线路，确保桌面简洁，</w:t>
      </w:r>
      <w:r>
        <w:rPr>
          <w:rFonts w:hint="eastAsia" w:ascii="仿宋_GB2312" w:hAnsi="Calibri" w:eastAsia="仿宋_GB2312" w:cs="Arial"/>
          <w:kern w:val="10"/>
          <w:sz w:val="32"/>
          <w:szCs w:val="32"/>
          <w:lang w:val="en-US" w:eastAsia="zh-CN"/>
        </w:rPr>
        <w:t>会议室角落放置一个可移动铝合金收纳柜，会议结束时可以把会议终端锁入柜体，确保机密设备不会被无关人员使用。</w:t>
      </w:r>
    </w:p>
    <w:p w14:paraId="7D839630">
      <w:pPr>
        <w:rPr>
          <w:rFonts w:hint="eastAsia" w:ascii="仿宋_GB2312" w:hAnsi="Calibri" w:eastAsia="仿宋_GB2312" w:cs="Arial"/>
          <w:kern w:val="10"/>
          <w:sz w:val="32"/>
          <w:szCs w:val="32"/>
          <w:lang w:val="en-US" w:eastAsia="zh-CN"/>
        </w:rPr>
      </w:pPr>
      <w:r>
        <w:rPr>
          <w:rFonts w:hint="eastAsia" w:ascii="仿宋_GB2312" w:hAnsi="Calibri" w:eastAsia="仿宋_GB2312" w:cs="Arial"/>
          <w:kern w:val="10"/>
          <w:sz w:val="32"/>
          <w:szCs w:val="32"/>
          <w:lang w:val="en-US" w:eastAsia="zh-CN"/>
        </w:rPr>
        <w:br w:type="page"/>
      </w:r>
    </w:p>
    <w:p w14:paraId="6D660B83">
      <w:pPr>
        <w:numPr>
          <w:ilvl w:val="0"/>
          <w:numId w:val="0"/>
        </w:numPr>
        <w:spacing w:line="579" w:lineRule="exact"/>
        <w:outlineLvl w:val="0"/>
        <w:rPr>
          <w:rFonts w:hint="default" w:ascii="仿宋_GB2312" w:hAnsi="Calibri" w:eastAsia="仿宋_GB2312" w:cs="Arial"/>
          <w:kern w:val="10"/>
          <w:sz w:val="32"/>
          <w:szCs w:val="32"/>
          <w:lang w:val="en-US" w:eastAsia="zh-CN"/>
        </w:rPr>
      </w:pPr>
      <w:r>
        <w:rPr>
          <w:rFonts w:hint="eastAsia" w:ascii="黑体" w:hAnsi="黑体" w:eastAsia="黑体" w:cs="Arial"/>
          <w:kern w:val="10"/>
          <w:sz w:val="32"/>
          <w:szCs w:val="32"/>
          <w:lang w:val="en-US" w:eastAsia="zh-CN"/>
        </w:rPr>
        <w:t>三、清单</w:t>
      </w:r>
    </w:p>
    <w:tbl>
      <w:tblPr>
        <w:tblStyle w:val="6"/>
        <w:tblW w:w="5598"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309"/>
        <w:gridCol w:w="1150"/>
        <w:gridCol w:w="1384"/>
      </w:tblGrid>
      <w:tr w14:paraId="46AD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B3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3D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A9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7BC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9EE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多角度桌面会议终端</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A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E9A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F6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无纸化终端软件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2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7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78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7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09" w:type="dxa"/>
            <w:tcBorders>
              <w:top w:val="single" w:color="000000" w:sz="4" w:space="0"/>
              <w:left w:val="single" w:color="000000" w:sz="4" w:space="0"/>
              <w:bottom w:val="nil"/>
              <w:right w:val="single" w:color="000000" w:sz="4" w:space="0"/>
            </w:tcBorders>
            <w:shd w:val="clear" w:color="auto" w:fill="auto"/>
            <w:vAlign w:val="center"/>
          </w:tcPr>
          <w:p w14:paraId="1D3B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无纸化会议控制平台</w:t>
            </w:r>
          </w:p>
        </w:tc>
        <w:tc>
          <w:tcPr>
            <w:tcW w:w="1150" w:type="dxa"/>
            <w:tcBorders>
              <w:top w:val="single" w:color="000000" w:sz="4" w:space="0"/>
              <w:left w:val="single" w:color="000000" w:sz="4" w:space="0"/>
              <w:bottom w:val="nil"/>
              <w:right w:val="single" w:color="000000" w:sz="4" w:space="0"/>
            </w:tcBorders>
            <w:shd w:val="clear" w:color="auto" w:fill="auto"/>
            <w:vAlign w:val="center"/>
          </w:tcPr>
          <w:p w14:paraId="38A6F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4" w:type="dxa"/>
            <w:tcBorders>
              <w:top w:val="single" w:color="000000" w:sz="4" w:space="0"/>
              <w:left w:val="single" w:color="000000" w:sz="4" w:space="0"/>
              <w:bottom w:val="nil"/>
              <w:right w:val="single" w:color="000000" w:sz="4" w:space="0"/>
            </w:tcBorders>
            <w:shd w:val="clear" w:color="auto" w:fill="auto"/>
            <w:vAlign w:val="center"/>
          </w:tcPr>
          <w:p w14:paraId="0F42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8E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1B3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309" w:type="dxa"/>
            <w:tcBorders>
              <w:top w:val="single" w:color="000000" w:sz="4" w:space="0"/>
              <w:left w:val="single" w:color="000000" w:sz="4" w:space="0"/>
              <w:bottom w:val="nil"/>
              <w:right w:val="single" w:color="000000" w:sz="4" w:space="0"/>
            </w:tcBorders>
            <w:shd w:val="clear" w:color="auto" w:fill="auto"/>
            <w:vAlign w:val="center"/>
          </w:tcPr>
          <w:p w14:paraId="428223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无纸化会议控制平台功能定制</w:t>
            </w:r>
          </w:p>
        </w:tc>
        <w:tc>
          <w:tcPr>
            <w:tcW w:w="1150" w:type="dxa"/>
            <w:tcBorders>
              <w:top w:val="single" w:color="000000" w:sz="4" w:space="0"/>
              <w:left w:val="single" w:color="000000" w:sz="4" w:space="0"/>
              <w:bottom w:val="nil"/>
              <w:right w:val="single" w:color="000000" w:sz="4" w:space="0"/>
            </w:tcBorders>
            <w:shd w:val="clear" w:color="auto" w:fill="auto"/>
            <w:vAlign w:val="center"/>
          </w:tcPr>
          <w:p w14:paraId="61B9D0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4" w:type="dxa"/>
            <w:tcBorders>
              <w:top w:val="single" w:color="000000" w:sz="4" w:space="0"/>
              <w:left w:val="single" w:color="000000" w:sz="4" w:space="0"/>
              <w:bottom w:val="nil"/>
              <w:right w:val="single" w:color="000000" w:sz="4" w:space="0"/>
            </w:tcBorders>
            <w:shd w:val="clear" w:color="auto" w:fill="auto"/>
            <w:vAlign w:val="center"/>
          </w:tcPr>
          <w:p w14:paraId="07932B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ADD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F9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CB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配套材料及安装</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0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F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83E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C68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A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壁挂式一体机</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A8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D1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bl>
    <w:p w14:paraId="633ADF30"/>
    <w:p w14:paraId="079F0FC3"/>
    <w:p w14:paraId="35DA11AD"/>
    <w:p w14:paraId="279D3E48"/>
    <w:p w14:paraId="4F949679"/>
    <w:p w14:paraId="7A3FA415"/>
    <w:p w14:paraId="0DC67F83"/>
    <w:p w14:paraId="61C9848B"/>
    <w:p w14:paraId="4DF2845E"/>
    <w:p w14:paraId="0B784C54">
      <w:pPr>
        <w:rPr>
          <w:rFonts w:hint="eastAsia" w:ascii="黑体" w:hAnsi="黑体" w:eastAsia="黑体" w:cs="Arial"/>
          <w:kern w:val="10"/>
          <w:sz w:val="32"/>
          <w:szCs w:val="32"/>
          <w:lang w:val="en-US" w:eastAsia="zh-CN"/>
        </w:rPr>
      </w:pPr>
      <w:r>
        <w:rPr>
          <w:rFonts w:hint="eastAsia" w:ascii="黑体" w:hAnsi="黑体" w:eastAsia="黑体" w:cs="Arial"/>
          <w:kern w:val="10"/>
          <w:sz w:val="32"/>
          <w:szCs w:val="32"/>
          <w:lang w:val="en-US" w:eastAsia="zh-CN"/>
        </w:rPr>
        <w:br w:type="page"/>
      </w:r>
    </w:p>
    <w:p w14:paraId="206F58BE">
      <w:pPr>
        <w:numPr>
          <w:ilvl w:val="0"/>
          <w:numId w:val="0"/>
        </w:numPr>
        <w:spacing w:line="579" w:lineRule="exact"/>
        <w:outlineLvl w:val="0"/>
        <w:rPr>
          <w:rFonts w:hint="default" w:ascii="黑体" w:hAnsi="黑体" w:eastAsia="黑体" w:cs="Arial"/>
          <w:kern w:val="10"/>
          <w:sz w:val="32"/>
          <w:szCs w:val="32"/>
          <w:lang w:val="en-US" w:eastAsia="zh-CN"/>
        </w:rPr>
      </w:pPr>
      <w:r>
        <w:rPr>
          <w:rFonts w:hint="eastAsia" w:ascii="黑体" w:hAnsi="黑体" w:eastAsia="黑体" w:cs="Arial"/>
          <w:kern w:val="10"/>
          <w:sz w:val="32"/>
          <w:szCs w:val="32"/>
          <w:lang w:val="en-US" w:eastAsia="zh-CN"/>
        </w:rPr>
        <w:t>四、功能参数明细表</w:t>
      </w:r>
    </w:p>
    <w:tbl>
      <w:tblPr>
        <w:tblStyle w:val="6"/>
        <w:tblW w:w="9228"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193"/>
        <w:gridCol w:w="4992"/>
        <w:gridCol w:w="726"/>
        <w:gridCol w:w="713"/>
        <w:gridCol w:w="849"/>
      </w:tblGrid>
      <w:tr w14:paraId="3A6F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64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39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99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D6EF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2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7EB0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D221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6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3AB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2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479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一、无纸化终端系统</w:t>
            </w:r>
          </w:p>
        </w:tc>
      </w:tr>
      <w:tr w14:paraId="37D0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C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5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多角度桌面会议终端</w:t>
            </w:r>
          </w:p>
        </w:tc>
        <w:tc>
          <w:tcPr>
            <w:tcW w:w="4992" w:type="dxa"/>
            <w:tcBorders>
              <w:top w:val="single" w:color="000000" w:sz="4" w:space="0"/>
              <w:left w:val="single" w:color="000000" w:sz="4" w:space="0"/>
              <w:bottom w:val="single" w:color="000000" w:sz="4" w:space="0"/>
              <w:right w:val="nil"/>
            </w:tcBorders>
            <w:shd w:val="clear" w:color="auto" w:fill="auto"/>
            <w:vAlign w:val="center"/>
          </w:tcPr>
          <w:p w14:paraId="43110B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1.外观结构：底座式多角度桌面双屏会议终端，前屏具备伸缩旋转多角度调整，后屏固定显示。 </w:t>
            </w:r>
          </w:p>
          <w:p w14:paraId="56F8E7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2.伸缩调整：触控屏幕具备伸缩调整角度功能，伸缩长度10cm，自带支撑力度，可根据用户观看需求调整显示距离，同时具备任意调整屏幕观看角度，还能具备调整屏幕与桌面高度。 </w:t>
            </w:r>
          </w:p>
          <w:p w14:paraId="0E21F5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3.旋转功能：在具备伸缩调整角度功能的基础上，触控屏具备横屏显示与竖屏显示手动旋转调节，触控屏具备顺时针 90 度旋转，可搭配无纸化软件横屏观看同步视频画面，竖屏进行文件阅文。 </w:t>
            </w:r>
          </w:p>
          <w:p w14:paraId="1C1521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4.屏幕数量：双屏异步显示，前屏触控操作屏，后屏铭牌显示 </w:t>
            </w:r>
          </w:p>
          <w:p w14:paraId="7C91D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5.手笔分离：触控屏标配手笔分离功能，屏幕具备智能识别触控它的是手还是笔，实现提笔就写，用手可直接翻页。</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C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14:paraId="778C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167E9D4">
            <w:pPr>
              <w:rPr>
                <w:rFonts w:hint="eastAsia" w:ascii="宋体" w:hAnsi="宋体" w:eastAsia="宋体" w:cs="宋体"/>
                <w:i w:val="0"/>
                <w:iCs w:val="0"/>
                <w:color w:val="000000"/>
                <w:sz w:val="20"/>
                <w:szCs w:val="20"/>
                <w:u w:val="none"/>
              </w:rPr>
            </w:pPr>
          </w:p>
        </w:tc>
      </w:tr>
      <w:tr w14:paraId="759D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AB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无纸化终端软件</w:t>
            </w:r>
          </w:p>
        </w:tc>
        <w:tc>
          <w:tcPr>
            <w:tcW w:w="4992" w:type="dxa"/>
            <w:tcBorders>
              <w:top w:val="single" w:color="000000" w:sz="4" w:space="0"/>
              <w:left w:val="single" w:color="000000" w:sz="4" w:space="0"/>
              <w:bottom w:val="single" w:color="000000" w:sz="4" w:space="0"/>
              <w:right w:val="nil"/>
            </w:tcBorders>
            <w:shd w:val="clear" w:color="auto" w:fill="auto"/>
            <w:vAlign w:val="center"/>
          </w:tcPr>
          <w:p w14:paraId="325C05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1.跨平台互联：支持安卓系统、鸿蒙系统、统信系统、麒麟系统（中标、银河）、WINDOWS 系统软件同步共享；</w:t>
            </w:r>
          </w:p>
          <w:p w14:paraId="265754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2.会议信息：查看会议议程、会议简介、主持人、参会人员名单和会议人员座位图等信息； </w:t>
            </w:r>
          </w:p>
          <w:p w14:paraId="45A1E8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3.欢迎页面编辑功能：可直接编辑欢迎界面 会议名称 参会人员姓名的大小、颜色、字体、位置具备铭牌显示功能：</w:t>
            </w:r>
          </w:p>
          <w:p w14:paraId="7E7CF9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4.PDF 批注，支持原文批注和交互式批注，远程批注后保存为原文件；</w:t>
            </w:r>
          </w:p>
          <w:p w14:paraId="20B3F5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5.电子白板：支持独立与多人共同书写，多种功能选择；</w:t>
            </w:r>
          </w:p>
          <w:p w14:paraId="7FBE2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6.会议管理：管理音视频信号，广播屏幕画面，强制切换同屏功能；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339">
            <w:pPr>
              <w:rPr>
                <w:rFonts w:hint="eastAsia" w:ascii="宋体" w:hAnsi="宋体" w:eastAsia="宋体" w:cs="宋体"/>
                <w:i w:val="0"/>
                <w:iCs w:val="0"/>
                <w:color w:val="000000"/>
                <w:sz w:val="20"/>
                <w:szCs w:val="20"/>
                <w:u w:val="none"/>
              </w:rPr>
            </w:pPr>
          </w:p>
        </w:tc>
      </w:tr>
      <w:tr w14:paraId="07F2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AB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93" w:type="dxa"/>
            <w:tcBorders>
              <w:top w:val="single" w:color="000000" w:sz="4" w:space="0"/>
              <w:left w:val="single" w:color="000000" w:sz="4" w:space="0"/>
              <w:bottom w:val="nil"/>
              <w:right w:val="single" w:color="000000" w:sz="4" w:space="0"/>
            </w:tcBorders>
            <w:shd w:val="clear" w:color="auto" w:fill="auto"/>
            <w:vAlign w:val="center"/>
          </w:tcPr>
          <w:p w14:paraId="77EE2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无纸化会议控制平台</w:t>
            </w:r>
          </w:p>
        </w:tc>
        <w:tc>
          <w:tcPr>
            <w:tcW w:w="4992" w:type="dxa"/>
            <w:tcBorders>
              <w:top w:val="single" w:color="000000" w:sz="4" w:space="0"/>
              <w:left w:val="single" w:color="000000" w:sz="4" w:space="0"/>
              <w:bottom w:val="nil"/>
              <w:right w:val="nil"/>
            </w:tcBorders>
            <w:shd w:val="clear" w:color="auto" w:fill="auto"/>
            <w:vAlign w:val="center"/>
          </w:tcPr>
          <w:p w14:paraId="744757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1.系统具备数据库备份及恢复、会议文件、系统日志备份（定时机制、或手动备份）；</w:t>
            </w:r>
          </w:p>
          <w:p w14:paraId="769D31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2.系统支持双机热备份，当一台系统出现问题无缝切换到到备用系统上，不影响会议进度；</w:t>
            </w:r>
          </w:p>
          <w:p w14:paraId="773DB6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3.无纸化 U-KEY 认证</w:t>
            </w:r>
          </w:p>
          <w:p w14:paraId="3B465A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4.会议文件在传输存储过程中采用中国国标加密算法 SM4；</w:t>
            </w:r>
          </w:p>
          <w:p w14:paraId="087FC9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5.三员分立：系统管理员、安全保密管理员、安全审计员；</w:t>
            </w:r>
          </w:p>
          <w:p w14:paraId="1F210D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6.具备人员多级数据库结构，添加临时参会人员，并可以将临时参会人员转为常用参会人员；</w:t>
            </w:r>
          </w:p>
          <w:p w14:paraId="3D1B5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7.支持会前模块选择、欢迎页设置和评分管理，配置基础功能设置。</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6C414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17FBE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1BF">
            <w:pPr>
              <w:rPr>
                <w:rFonts w:hint="eastAsia" w:ascii="宋体" w:hAnsi="宋体" w:eastAsia="宋体" w:cs="宋体"/>
                <w:i w:val="0"/>
                <w:iCs w:val="0"/>
                <w:color w:val="000000"/>
                <w:sz w:val="20"/>
                <w:szCs w:val="20"/>
                <w:u w:val="none"/>
              </w:rPr>
            </w:pPr>
          </w:p>
        </w:tc>
      </w:tr>
      <w:tr w14:paraId="528A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062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3" w:type="dxa"/>
            <w:tcBorders>
              <w:top w:val="single" w:color="000000" w:sz="4" w:space="0"/>
              <w:left w:val="single" w:color="000000" w:sz="4" w:space="0"/>
              <w:bottom w:val="nil"/>
              <w:right w:val="single" w:color="000000" w:sz="4" w:space="0"/>
            </w:tcBorders>
            <w:shd w:val="clear" w:color="auto" w:fill="auto"/>
            <w:vAlign w:val="center"/>
          </w:tcPr>
          <w:p w14:paraId="6EA878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无纸化会议控制平台功能定制</w:t>
            </w:r>
          </w:p>
        </w:tc>
        <w:tc>
          <w:tcPr>
            <w:tcW w:w="4992" w:type="dxa"/>
            <w:tcBorders>
              <w:top w:val="single" w:color="000000" w:sz="4" w:space="0"/>
              <w:left w:val="single" w:color="000000" w:sz="4" w:space="0"/>
              <w:bottom w:val="nil"/>
              <w:right w:val="nil"/>
            </w:tcBorders>
            <w:shd w:val="clear" w:color="auto" w:fill="auto"/>
            <w:vAlign w:val="center"/>
          </w:tcPr>
          <w:p w14:paraId="021A20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对相关功能进行定制</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1D5557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11B285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4F5">
            <w:pPr>
              <w:rPr>
                <w:rFonts w:hint="eastAsia" w:ascii="宋体" w:hAnsi="宋体" w:eastAsia="宋体" w:cs="宋体"/>
                <w:i w:val="0"/>
                <w:iCs w:val="0"/>
                <w:color w:val="000000"/>
                <w:sz w:val="20"/>
                <w:szCs w:val="20"/>
                <w:u w:val="none"/>
              </w:rPr>
            </w:pPr>
          </w:p>
        </w:tc>
      </w:tr>
      <w:tr w14:paraId="4BA1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64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网络交换机</w:t>
            </w:r>
          </w:p>
        </w:tc>
        <w:tc>
          <w:tcPr>
            <w:tcW w:w="4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E6C3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7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6F3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14:paraId="7FAD6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F134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甲供</w:t>
            </w:r>
          </w:p>
        </w:tc>
      </w:tr>
      <w:tr w14:paraId="2599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F9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B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一体机</w:t>
            </w:r>
          </w:p>
        </w:tc>
        <w:tc>
          <w:tcPr>
            <w:tcW w:w="4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6915B9E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壁挂式，用于监控展示</w:t>
            </w:r>
          </w:p>
        </w:tc>
        <w:tc>
          <w:tcPr>
            <w:tcW w:w="7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F6D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14:paraId="1CEAF1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FC5F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DE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40" w:type="dxa"/>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5E030D">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二、配套材料及安装</w:t>
            </w:r>
          </w:p>
        </w:tc>
        <w:tc>
          <w:tcPr>
            <w:tcW w:w="1439" w:type="dxa"/>
            <w:gridSpan w:val="2"/>
            <w:tcBorders>
              <w:top w:val="single" w:color="000000" w:sz="4" w:space="0"/>
              <w:left w:val="single" w:color="auto" w:sz="4" w:space="0"/>
              <w:bottom w:val="single" w:color="000000" w:sz="4" w:space="0"/>
              <w:right w:val="single" w:color="auto" w:sz="4" w:space="0"/>
            </w:tcBorders>
            <w:shd w:val="clear" w:color="auto" w:fill="FFFFFF"/>
            <w:noWrap/>
            <w:vAlign w:val="center"/>
          </w:tcPr>
          <w:p w14:paraId="75CFF542">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84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F942105">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r>
      <w:tr w14:paraId="65C0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C1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滑轨插座</w:t>
            </w:r>
          </w:p>
        </w:tc>
        <w:tc>
          <w:tcPr>
            <w:tcW w:w="499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771BD0">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滑轨</w:t>
            </w:r>
          </w:p>
          <w:p w14:paraId="4FB71A09">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活动插座。</w:t>
            </w:r>
          </w:p>
        </w:tc>
        <w:tc>
          <w:tcPr>
            <w:tcW w:w="72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0B5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918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C66FEFE">
            <w:pPr>
              <w:jc w:val="center"/>
              <w:rPr>
                <w:rFonts w:hint="eastAsia" w:ascii="宋体" w:hAnsi="宋体" w:eastAsia="宋体" w:cs="宋体"/>
                <w:i w:val="0"/>
                <w:iCs w:val="0"/>
                <w:color w:val="000000"/>
                <w:sz w:val="20"/>
                <w:szCs w:val="20"/>
                <w:u w:val="none"/>
              </w:rPr>
            </w:pPr>
          </w:p>
        </w:tc>
      </w:tr>
      <w:tr w14:paraId="490A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4D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3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自动伸缩网线盘</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D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1.2米-1.4米自动伸缩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B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7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096F">
            <w:pPr>
              <w:jc w:val="center"/>
              <w:rPr>
                <w:rFonts w:hint="eastAsia" w:ascii="宋体" w:hAnsi="宋体" w:eastAsia="宋体" w:cs="宋体"/>
                <w:i w:val="0"/>
                <w:iCs w:val="0"/>
                <w:color w:val="000000"/>
                <w:sz w:val="20"/>
                <w:szCs w:val="20"/>
                <w:u w:val="none"/>
              </w:rPr>
            </w:pPr>
          </w:p>
        </w:tc>
      </w:tr>
      <w:tr w14:paraId="2AD6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32A5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447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铝合金收纳柜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22CE">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双开门，上下两层，铝合金外框。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83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BB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6B5">
            <w:pPr>
              <w:jc w:val="center"/>
              <w:rPr>
                <w:rFonts w:hint="eastAsia" w:ascii="宋体" w:hAnsi="宋体" w:eastAsia="宋体" w:cs="宋体"/>
                <w:i w:val="0"/>
                <w:iCs w:val="0"/>
                <w:color w:val="000000"/>
                <w:sz w:val="20"/>
                <w:szCs w:val="20"/>
                <w:u w:val="none"/>
              </w:rPr>
            </w:pPr>
          </w:p>
        </w:tc>
      </w:tr>
      <w:tr w14:paraId="4C29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线辅材及安装</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网线、电源线等辅材及安装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8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234A">
            <w:pPr>
              <w:jc w:val="center"/>
              <w:rPr>
                <w:rFonts w:hint="eastAsia" w:ascii="宋体" w:hAnsi="宋体" w:eastAsia="宋体" w:cs="宋体"/>
                <w:i w:val="0"/>
                <w:iCs w:val="0"/>
                <w:color w:val="000000"/>
                <w:sz w:val="20"/>
                <w:szCs w:val="20"/>
                <w:u w:val="none"/>
              </w:rPr>
            </w:pPr>
          </w:p>
        </w:tc>
      </w:tr>
    </w:tbl>
    <w:p w14:paraId="2E641B7A"/>
    <w:sectPr>
      <w:headerReference r:id="rId4" w:type="first"/>
      <w:footerReference r:id="rId6" w:type="first"/>
      <w:headerReference r:id="rId3" w:type="default"/>
      <w:footerReference r:id="rId5" w:type="default"/>
      <w:pgSz w:w="11906" w:h="16838"/>
      <w:pgMar w:top="2098" w:right="1474" w:bottom="1985" w:left="1588" w:header="851" w:footer="1435"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C93D6E-2E23-41DB-BD55-B6E8702629EA}"/>
  </w:font>
  <w:font w:name="黑体">
    <w:panose1 w:val="02010609060101010101"/>
    <w:charset w:val="86"/>
    <w:family w:val="auto"/>
    <w:pitch w:val="default"/>
    <w:sig w:usb0="800002BF" w:usb1="38CF7CFA" w:usb2="00000016" w:usb3="00000000" w:csb0="00040001" w:csb1="00000000"/>
    <w:embedRegular r:id="rId2" w:fontKey="{F778F815-AA33-41DC-B384-2EF6C84BD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37B2331-3A15-4612-9C93-C70CE69C710E}"/>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B9CC692C-C996-4E9D-AD3E-2FF4B37779BE}"/>
  </w:font>
  <w:font w:name="方正小标宋简体">
    <w:panose1 w:val="02000000000000000000"/>
    <w:charset w:val="86"/>
    <w:family w:val="auto"/>
    <w:pitch w:val="default"/>
    <w:sig w:usb0="00000001" w:usb1="08000000" w:usb2="00000000" w:usb3="00000000" w:csb0="00040000" w:csb1="00000000"/>
    <w:embedRegular r:id="rId5" w:fontKey="{655DA367-6328-4C53-B36B-0AACBD961BC7}"/>
  </w:font>
  <w:font w:name="等线">
    <w:panose1 w:val="02010600030101010101"/>
    <w:charset w:val="86"/>
    <w:family w:val="auto"/>
    <w:pitch w:val="default"/>
    <w:sig w:usb0="A00002BF" w:usb1="38CF7CFA" w:usb2="00000016" w:usb3="00000000" w:csb0="0004000F" w:csb1="00000000"/>
    <w:embedRegular r:id="rId6" w:fontKey="{E8D2FD6E-3968-4C6E-9B71-4A0885BFC9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D8B2">
    <w:pPr>
      <w:snapToGrid w:val="0"/>
      <w:spacing w:line="579" w:lineRule="exact"/>
      <w:ind w:firstLine="560" w:firstLineChars="200"/>
      <w:jc w:val="right"/>
      <w:rPr>
        <w:rFonts w:ascii="宋体" w:hAnsi="宋体" w:eastAsia="仿宋_GB2312" w:cs="Times New Roman"/>
        <w:kern w:val="10"/>
        <w:sz w:val="28"/>
        <w:szCs w:val="28"/>
      </w:rPr>
    </w:pPr>
    <w:r>
      <w:rPr>
        <w:rFonts w:hint="eastAsia" w:ascii="宋体" w:hAnsi="宋体" w:eastAsia="仿宋_GB2312" w:cs="Times New Roman"/>
        <w:kern w:val="10"/>
        <w:sz w:val="28"/>
        <w:szCs w:val="28"/>
      </w:rPr>
      <w:t>—</w:t>
    </w:r>
    <w:r>
      <w:rPr>
        <w:rFonts w:ascii="宋体" w:hAnsi="宋体" w:eastAsia="仿宋_GB2312" w:cs="Times New Roman"/>
        <w:kern w:val="10"/>
        <w:sz w:val="28"/>
        <w:szCs w:val="28"/>
      </w:rPr>
      <w:fldChar w:fldCharType="begin"/>
    </w:r>
    <w:r>
      <w:rPr>
        <w:rFonts w:ascii="宋体" w:hAnsi="宋体" w:eastAsia="仿宋_GB2312" w:cs="Times New Roman"/>
        <w:kern w:val="10"/>
        <w:sz w:val="28"/>
        <w:szCs w:val="28"/>
      </w:rPr>
      <w:instrText xml:space="preserve">PAGE   \* MERGEFORMAT</w:instrText>
    </w:r>
    <w:r>
      <w:rPr>
        <w:rFonts w:ascii="宋体" w:hAnsi="宋体" w:eastAsia="仿宋_GB2312" w:cs="Times New Roman"/>
        <w:kern w:val="10"/>
        <w:sz w:val="28"/>
        <w:szCs w:val="28"/>
      </w:rPr>
      <w:fldChar w:fldCharType="separate"/>
    </w:r>
    <w:r>
      <w:rPr>
        <w:rFonts w:ascii="宋体" w:hAnsi="宋体" w:eastAsia="仿宋_GB2312" w:cs="Times New Roman"/>
        <w:kern w:val="10"/>
        <w:sz w:val="28"/>
        <w:szCs w:val="28"/>
      </w:rPr>
      <w:t>9</w:t>
    </w:r>
    <w:r>
      <w:rPr>
        <w:rFonts w:ascii="宋体" w:hAnsi="宋体" w:eastAsia="仿宋_GB2312" w:cs="Times New Roman"/>
        <w:kern w:val="10"/>
        <w:sz w:val="28"/>
        <w:szCs w:val="28"/>
      </w:rPr>
      <w:fldChar w:fldCharType="end"/>
    </w:r>
    <w:r>
      <w:rPr>
        <w:rFonts w:hint="eastAsia" w:ascii="宋体" w:hAnsi="宋体" w:eastAsia="仿宋_GB2312" w:cs="Times New Roman"/>
        <w:kern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1FB9">
    <w:pPr>
      <w:snapToGrid w:val="0"/>
      <w:spacing w:line="579" w:lineRule="exact"/>
      <w:ind w:firstLine="560" w:firstLineChars="200"/>
      <w:jc w:val="left"/>
      <w:rPr>
        <w:rFonts w:ascii="宋体" w:hAnsi="宋体" w:eastAsia="仿宋_GB2312" w:cs="Times New Roman"/>
        <w:kern w:val="10"/>
        <w:sz w:val="28"/>
        <w:szCs w:val="28"/>
      </w:rPr>
    </w:pPr>
    <w:r>
      <w:rPr>
        <w:rFonts w:hint="eastAsia" w:ascii="宋体" w:hAnsi="宋体" w:eastAsia="仿宋_GB2312" w:cs="Times New Roman"/>
        <w:kern w:val="10"/>
        <w:sz w:val="28"/>
        <w:szCs w:val="28"/>
      </w:rPr>
      <w:t>—</w:t>
    </w:r>
    <w:r>
      <w:rPr>
        <w:rFonts w:ascii="宋体" w:hAnsi="宋体" w:eastAsia="仿宋_GB2312" w:cs="Times New Roman"/>
        <w:kern w:val="10"/>
        <w:sz w:val="28"/>
        <w:szCs w:val="28"/>
      </w:rPr>
      <w:fldChar w:fldCharType="begin"/>
    </w:r>
    <w:r>
      <w:rPr>
        <w:rFonts w:ascii="宋体" w:hAnsi="宋体" w:eastAsia="仿宋_GB2312" w:cs="Times New Roman"/>
        <w:kern w:val="10"/>
        <w:sz w:val="28"/>
        <w:szCs w:val="28"/>
      </w:rPr>
      <w:instrText xml:space="preserve">PAGE   \* MERGEFORMAT</w:instrText>
    </w:r>
    <w:r>
      <w:rPr>
        <w:rFonts w:ascii="宋体" w:hAnsi="宋体" w:eastAsia="仿宋_GB2312" w:cs="Times New Roman"/>
        <w:kern w:val="10"/>
        <w:sz w:val="28"/>
        <w:szCs w:val="28"/>
      </w:rPr>
      <w:fldChar w:fldCharType="separate"/>
    </w:r>
    <w:r>
      <w:rPr>
        <w:rFonts w:ascii="宋体" w:hAnsi="宋体" w:eastAsia="仿宋_GB2312" w:cs="Times New Roman"/>
        <w:kern w:val="10"/>
        <w:sz w:val="28"/>
        <w:szCs w:val="28"/>
      </w:rPr>
      <w:t>11</w:t>
    </w:r>
    <w:r>
      <w:rPr>
        <w:rFonts w:ascii="宋体" w:hAnsi="宋体" w:eastAsia="仿宋_GB2312" w:cs="Times New Roman"/>
        <w:kern w:val="10"/>
        <w:sz w:val="28"/>
        <w:szCs w:val="28"/>
      </w:rPr>
      <w:fldChar w:fldCharType="end"/>
    </w:r>
    <w:r>
      <w:rPr>
        <w:rFonts w:hint="eastAsia" w:ascii="宋体" w:hAnsi="宋体" w:eastAsia="仿宋_GB2312" w:cs="Times New Roman"/>
        <w:kern w:val="1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4F0B">
    <w:pPr>
      <w:spacing w:line="579" w:lineRule="exact"/>
      <w:ind w:firstLine="560" w:firstLineChars="200"/>
      <w:rPr>
        <w:rFonts w:ascii="仿宋_GB2312" w:hAnsi="仿宋_GB2312" w:eastAsia="仿宋_GB2312" w:cs="Arial"/>
        <w:kern w:val="10"/>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4827">
    <w:pPr>
      <w:spacing w:line="579" w:lineRule="exact"/>
      <w:ind w:firstLine="560" w:firstLineChars="200"/>
      <w:rPr>
        <w:rFonts w:ascii="仿宋_GB2312" w:hAnsi="仿宋_GB2312" w:eastAsia="仿宋_GB2312" w:cs="Arial"/>
        <w:kern w:val="1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50CEB"/>
    <w:multiLevelType w:val="singleLevel"/>
    <w:tmpl w:val="EC450CEB"/>
    <w:lvl w:ilvl="0" w:tentative="0">
      <w:start w:val="2"/>
      <w:numFmt w:val="decimal"/>
      <w:suff w:val="nothing"/>
      <w:lvlText w:val="%1）"/>
      <w:lvlJc w:val="left"/>
    </w:lvl>
  </w:abstractNum>
  <w:abstractNum w:abstractNumId="1">
    <w:nsid w:val="23E958A4"/>
    <w:multiLevelType w:val="multilevel"/>
    <w:tmpl w:val="23E958A4"/>
    <w:lvl w:ilvl="0" w:tentative="0">
      <w:start w:val="1"/>
      <w:numFmt w:val="decimal"/>
      <w:suff w:val="nothing"/>
      <w:lvlText w:val="%1."/>
      <w:lvlJc w:val="left"/>
      <w:pPr>
        <w:ind w:left="0" w:firstLine="0"/>
      </w:pPr>
      <w:rPr>
        <w:rFonts w:hint="eastAsia" w:ascii="黑体" w:hAnsi="黑体" w:eastAsia="黑体"/>
        <w:sz w:val="28"/>
      </w:rPr>
    </w:lvl>
    <w:lvl w:ilvl="1" w:tentative="0">
      <w:start w:val="1"/>
      <w:numFmt w:val="decimal"/>
      <w:pStyle w:val="2"/>
      <w:suff w:val="nothing"/>
      <w:lvlText w:val="%1.%2"/>
      <w:lvlJc w:val="left"/>
      <w:pPr>
        <w:ind w:left="0" w:firstLine="0"/>
      </w:pPr>
      <w:rPr>
        <w:rFonts w:hint="eastAsia" w:ascii="楷体_GB2312" w:eastAsia="楷体_GB2312"/>
        <w:sz w:val="28"/>
      </w:rPr>
    </w:lvl>
    <w:lvl w:ilvl="2" w:tentative="0">
      <w:start w:val="1"/>
      <w:numFmt w:val="decimal"/>
      <w:pStyle w:val="4"/>
      <w:suff w:val="nothing"/>
      <w:lvlText w:val="%1.%2.%3"/>
      <w:lvlJc w:val="left"/>
      <w:pPr>
        <w:ind w:left="1135" w:firstLine="0"/>
      </w:pPr>
      <w:rPr>
        <w:rFonts w:hint="eastAsia" w:ascii="仿宋_GB2312" w:eastAsia="仿宋_GB2312"/>
        <w:sz w:val="28"/>
      </w:rPr>
    </w:lvl>
    <w:lvl w:ilvl="3" w:tentative="0">
      <w:start w:val="1"/>
      <w:numFmt w:val="decimal"/>
      <w:suff w:val="nothing"/>
      <w:lvlText w:val="%1.%2.%3.%4"/>
      <w:lvlJc w:val="left"/>
      <w:pPr>
        <w:ind w:left="0" w:firstLine="0"/>
      </w:pPr>
      <w:rPr>
        <w:rFonts w:hint="eastAsia" w:ascii="仿宋_GB2312" w:eastAsia="仿宋_GB2312"/>
        <w:sz w:val="28"/>
      </w:rPr>
    </w:lvl>
    <w:lvl w:ilvl="4" w:tentative="0">
      <w:start w:val="1"/>
      <w:numFmt w:val="decimal"/>
      <w:suff w:val="nothing"/>
      <w:lvlText w:val="%1.%2.%3.%4.%5"/>
      <w:lvlJc w:val="left"/>
      <w:pPr>
        <w:ind w:left="0" w:firstLine="0"/>
      </w:pPr>
      <w:rPr>
        <w:rFonts w:hint="eastAsia" w:ascii="仿宋_GB2312" w:eastAsia="仿宋_GB2312"/>
        <w:sz w:val="28"/>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F45EDFA"/>
    <w:multiLevelType w:val="singleLevel"/>
    <w:tmpl w:val="2F45EDFA"/>
    <w:lvl w:ilvl="0" w:tentative="0">
      <w:start w:val="2"/>
      <w:numFmt w:val="decimal"/>
      <w:suff w:val="nothing"/>
      <w:lvlText w:val="%1、"/>
      <w:lvlJc w:val="left"/>
    </w:lvl>
  </w:abstractNum>
  <w:abstractNum w:abstractNumId="3">
    <w:nsid w:val="37FF2BA4"/>
    <w:multiLevelType w:val="singleLevel"/>
    <w:tmpl w:val="37FF2BA4"/>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ZlYTZhMjdhYzE0MTlmYjE3MDU4YTA1Y2FhZjIifQ=="/>
  </w:docVars>
  <w:rsids>
    <w:rsidRoot w:val="52D02AED"/>
    <w:rsid w:val="036523DB"/>
    <w:rsid w:val="08AE36BE"/>
    <w:rsid w:val="09150255"/>
    <w:rsid w:val="0C5910CD"/>
    <w:rsid w:val="13A10F7E"/>
    <w:rsid w:val="159E1943"/>
    <w:rsid w:val="1ED22CE1"/>
    <w:rsid w:val="1EEB6D1C"/>
    <w:rsid w:val="1F7DF82C"/>
    <w:rsid w:val="25992A77"/>
    <w:rsid w:val="32A267D9"/>
    <w:rsid w:val="334B4DD1"/>
    <w:rsid w:val="37901585"/>
    <w:rsid w:val="391C1E35"/>
    <w:rsid w:val="3E8B3516"/>
    <w:rsid w:val="3F5440F4"/>
    <w:rsid w:val="412C1F7C"/>
    <w:rsid w:val="42A17508"/>
    <w:rsid w:val="454A03CC"/>
    <w:rsid w:val="49A8335A"/>
    <w:rsid w:val="508E185C"/>
    <w:rsid w:val="52D02AED"/>
    <w:rsid w:val="542425E2"/>
    <w:rsid w:val="56937BF7"/>
    <w:rsid w:val="5A523244"/>
    <w:rsid w:val="5EA733FD"/>
    <w:rsid w:val="62472BF5"/>
    <w:rsid w:val="648F58B6"/>
    <w:rsid w:val="65176EF8"/>
    <w:rsid w:val="68814718"/>
    <w:rsid w:val="68E92FB2"/>
    <w:rsid w:val="6A676D6B"/>
    <w:rsid w:val="6E724F76"/>
    <w:rsid w:val="6F857C3D"/>
    <w:rsid w:val="717D3B87"/>
    <w:rsid w:val="730550C8"/>
    <w:rsid w:val="793A736F"/>
    <w:rsid w:val="7A406FE4"/>
    <w:rsid w:val="7B1865CD"/>
    <w:rsid w:val="BF5F9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3"/>
    <w:qFormat/>
    <w:uiPriority w:val="9"/>
    <w:pPr>
      <w:keepNext/>
      <w:keepLines/>
      <w:numPr>
        <w:ilvl w:val="1"/>
        <w:numId w:val="1"/>
      </w:numPr>
      <w:spacing w:line="579" w:lineRule="exact"/>
      <w:outlineLvl w:val="1"/>
    </w:pPr>
    <w:rPr>
      <w:rFonts w:ascii="楷体_GB2312" w:hAnsi="楷体_GB2312" w:eastAsia="楷体_GB2312" w:cs="Times New Roman"/>
      <w:sz w:val="28"/>
      <w:szCs w:val="28"/>
      <w:lang w:val="en-US" w:eastAsia="zh-CN" w:bidi="ar-SA"/>
    </w:rPr>
  </w:style>
  <w:style w:type="paragraph" w:styleId="4">
    <w:name w:val="heading 3"/>
    <w:basedOn w:val="1"/>
    <w:next w:val="1"/>
    <w:qFormat/>
    <w:uiPriority w:val="9"/>
    <w:pPr>
      <w:keepNext/>
      <w:keepLines/>
      <w:numPr>
        <w:ilvl w:val="2"/>
        <w:numId w:val="1"/>
      </w:numPr>
      <w:spacing w:line="579" w:lineRule="exact"/>
      <w:outlineLvl w:val="2"/>
    </w:pPr>
    <w:rPr>
      <w:rFonts w:ascii="楷体_GB2312" w:hAnsi="楷体_GB2312" w:eastAsia="仿宋_GB2312" w:cs="Times New Roman"/>
      <w:sz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格式"/>
    <w:qFormat/>
    <w:uiPriority w:val="99"/>
    <w:pPr>
      <w:widowControl w:val="0"/>
      <w:snapToGrid w:val="0"/>
      <w:spacing w:line="579" w:lineRule="exact"/>
      <w:ind w:firstLine="560" w:firstLineChars="200"/>
      <w:jc w:val="both"/>
    </w:pPr>
    <w:rPr>
      <w:rFonts w:ascii="仿宋_GB2312" w:hAnsi="Times New Roman" w:eastAsia="仿宋_GB2312" w:cs="Times New Roman"/>
      <w:sz w:val="28"/>
      <w:szCs w:val="28"/>
      <w:lang w:val="en-US" w:eastAsia="zh-CN" w:bidi="ar-SA"/>
    </w:rPr>
  </w:style>
  <w:style w:type="paragraph" w:styleId="5">
    <w:name w:val="annotation text"/>
    <w:basedOn w:val="1"/>
    <w:semiHidden/>
    <w:unhideWhenUsed/>
    <w:qFormat/>
    <w:uiPriority w:val="99"/>
    <w:pPr>
      <w:jc w:val="left"/>
    </w:pPr>
  </w:style>
  <w:style w:type="character" w:styleId="8">
    <w:name w:val="annotation reference"/>
    <w:basedOn w:val="7"/>
    <w:semiHidden/>
    <w:unhideWhenUsed/>
    <w:qFormat/>
    <w:uiPriority w:val="99"/>
    <w:rPr>
      <w:sz w:val="21"/>
      <w:szCs w:val="21"/>
    </w:rPr>
  </w:style>
  <w:style w:type="paragraph" w:customStyle="1" w:styleId="9">
    <w:name w:val="表格内容"/>
    <w:qFormat/>
    <w:uiPriority w:val="0"/>
    <w:pPr>
      <w:spacing w:line="320" w:lineRule="exact"/>
      <w:textAlignment w:val="center"/>
    </w:pPr>
    <w:rPr>
      <w:rFonts w:ascii="仿宋_GB2312" w:hAnsi="宋体" w:eastAsia="仿宋_GB2312" w:cs="Times New Roman"/>
      <w:bCs/>
      <w:color w:val="000000"/>
      <w:sz w:val="24"/>
      <w:szCs w:val="24"/>
      <w:lang w:val="en-US" w:eastAsia="zh-CN" w:bidi="ar-SA"/>
    </w:rPr>
  </w:style>
  <w:style w:type="paragraph" w:styleId="10">
    <w:name w:val="List Paragraph"/>
    <w:basedOn w:val="1"/>
    <w:qFormat/>
    <w:uiPriority w:val="0"/>
    <w:pPr>
      <w:ind w:firstLine="420" w:firstLineChars="200"/>
    </w:pPr>
    <w:rPr>
      <w:rFonts w:ascii="Calibri" w:hAnsi="Calibri" w:eastAsia="宋体" w:cs="Times New Roman"/>
    </w:rPr>
  </w:style>
  <w:style w:type="paragraph" w:customStyle="1" w:styleId="11">
    <w:name w:val="样式 宋体 小四 行距: 1.5 倍行距"/>
    <w:basedOn w:val="1"/>
    <w:qFormat/>
    <w:uiPriority w:val="0"/>
    <w:pPr>
      <w:ind w:firstLine="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3215</Words>
  <Characters>3308</Characters>
  <Lines>0</Lines>
  <Paragraphs>0</Paragraphs>
  <TotalTime>218</TotalTime>
  <ScaleCrop>false</ScaleCrop>
  <LinksUpToDate>false</LinksUpToDate>
  <CharactersWithSpaces>4739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2024-09-25T23:59:00Z</dcterms:created>
  <dc:creator>Sean</dc:creator>
  <cp:lastModifiedBy>网络中心值班</cp:lastModifiedBy>
  <dcterms:modified xsi:type="dcterms:W3CDTF">2024-10-14T09:03:21Z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2FF945D7AD4440AE8C42738C4EBF08EF_13</vt:lpwstr>
  </property>
</Properties>
</file>