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D8" w:rsidRDefault="00EA18D8" w:rsidP="00EA18D8">
      <w:pPr>
        <w:overflowPunct w:val="0"/>
        <w:spacing w:beforeLines="50" w:before="156" w:afterLines="50" w:after="156" w:line="570" w:lineRule="exact"/>
        <w:jc w:val="left"/>
        <w:rPr>
          <w:rFonts w:ascii="黑体" w:eastAsia="黑体" w:hAnsi="黑体" w:hint="eastAsia"/>
          <w:szCs w:val="44"/>
        </w:rPr>
      </w:pPr>
      <w:r>
        <w:rPr>
          <w:rFonts w:ascii="黑体" w:eastAsia="黑体" w:hAnsi="黑体" w:hint="eastAsia"/>
          <w:szCs w:val="44"/>
        </w:rPr>
        <w:t>附件</w:t>
      </w:r>
      <w:r>
        <w:rPr>
          <w:rFonts w:ascii="黑体" w:eastAsia="黑体" w:hAnsi="黑体"/>
          <w:szCs w:val="44"/>
        </w:rPr>
        <w:t>1</w:t>
      </w:r>
    </w:p>
    <w:p w:rsidR="00EA18D8" w:rsidRDefault="00EA18D8" w:rsidP="00EA18D8">
      <w:pPr>
        <w:overflowPunct w:val="0"/>
        <w:spacing w:beforeLines="50" w:before="156" w:afterLines="50" w:after="156" w:line="57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实时荧光定量PCR系统技术要求</w:t>
      </w:r>
    </w:p>
    <w:tbl>
      <w:tblPr>
        <w:tblW w:w="9472" w:type="dxa"/>
        <w:tblInd w:w="-176" w:type="dxa"/>
        <w:tblLayout w:type="fixed"/>
        <w:tblLook w:val="0000" w:firstRow="0" w:lastRow="0" w:firstColumn="0" w:lastColumn="0" w:noHBand="0" w:noVBand="0"/>
      </w:tblPr>
      <w:tblGrid>
        <w:gridCol w:w="832"/>
        <w:gridCol w:w="1636"/>
        <w:gridCol w:w="5521"/>
        <w:gridCol w:w="1483"/>
      </w:tblGrid>
      <w:tr w:rsidR="00EA18D8" w:rsidTr="0037289D">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1636" w:type="dxa"/>
            <w:tcBorders>
              <w:top w:val="single" w:sz="8" w:space="0" w:color="auto"/>
              <w:left w:val="nil"/>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b/>
                <w:bCs/>
                <w:kern w:val="0"/>
                <w:sz w:val="21"/>
                <w:szCs w:val="21"/>
              </w:rPr>
            </w:pPr>
            <w:r>
              <w:rPr>
                <w:rFonts w:ascii="宋体" w:eastAsia="宋体" w:hAnsi="宋体" w:cs="宋体" w:hint="eastAsia"/>
                <w:b/>
                <w:bCs/>
                <w:kern w:val="0"/>
                <w:sz w:val="21"/>
                <w:szCs w:val="21"/>
              </w:rPr>
              <w:t>技术和性能</w:t>
            </w:r>
          </w:p>
          <w:p w:rsidR="00EA18D8" w:rsidRDefault="00EA18D8" w:rsidP="0037289D">
            <w:pPr>
              <w:widowControl/>
              <w:spacing w:line="400" w:lineRule="exact"/>
              <w:jc w:val="center"/>
              <w:rPr>
                <w:rFonts w:ascii="宋体" w:eastAsia="宋体" w:hAnsi="宋体" w:cs="宋体"/>
                <w:b/>
                <w:bCs/>
                <w:kern w:val="0"/>
                <w:sz w:val="21"/>
                <w:szCs w:val="21"/>
              </w:rPr>
            </w:pPr>
            <w:r>
              <w:rPr>
                <w:rFonts w:ascii="宋体" w:eastAsia="宋体" w:hAnsi="宋体" w:cs="宋体" w:hint="eastAsia"/>
                <w:b/>
                <w:bCs/>
                <w:kern w:val="0"/>
                <w:sz w:val="21"/>
                <w:szCs w:val="21"/>
              </w:rPr>
              <w:t>参数名称</w:t>
            </w:r>
          </w:p>
        </w:tc>
        <w:tc>
          <w:tcPr>
            <w:tcW w:w="5521" w:type="dxa"/>
            <w:tcBorders>
              <w:top w:val="single" w:sz="8" w:space="0" w:color="auto"/>
              <w:left w:val="nil"/>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b/>
                <w:bCs/>
                <w:kern w:val="0"/>
                <w:sz w:val="21"/>
                <w:szCs w:val="21"/>
              </w:rPr>
            </w:pPr>
            <w:r>
              <w:rPr>
                <w:rFonts w:ascii="宋体" w:eastAsia="宋体" w:hAnsi="宋体" w:cs="宋体" w:hint="eastAsia"/>
                <w:b/>
                <w:bCs/>
                <w:kern w:val="0"/>
                <w:sz w:val="21"/>
                <w:szCs w:val="21"/>
              </w:rPr>
              <w:t>技术参数和性能要求</w:t>
            </w:r>
          </w:p>
        </w:tc>
        <w:tc>
          <w:tcPr>
            <w:tcW w:w="1483" w:type="dxa"/>
            <w:tcBorders>
              <w:top w:val="single" w:sz="8" w:space="0" w:color="auto"/>
              <w:left w:val="nil"/>
              <w:bottom w:val="single" w:sz="4" w:space="0" w:color="auto"/>
              <w:right w:val="single" w:sz="8" w:space="0" w:color="auto"/>
            </w:tcBorders>
            <w:vAlign w:val="center"/>
          </w:tcPr>
          <w:p w:rsidR="00EA18D8" w:rsidRDefault="00EA18D8" w:rsidP="0037289D">
            <w:pPr>
              <w:widowControl/>
              <w:spacing w:line="400" w:lineRule="exact"/>
              <w:jc w:val="center"/>
              <w:rPr>
                <w:rFonts w:ascii="宋体" w:eastAsia="宋体" w:hAnsi="宋体" w:cs="宋体"/>
                <w:b/>
                <w:bCs/>
                <w:kern w:val="0"/>
                <w:sz w:val="21"/>
                <w:szCs w:val="21"/>
              </w:rPr>
            </w:pPr>
            <w:r>
              <w:rPr>
                <w:rFonts w:ascii="宋体" w:eastAsia="宋体" w:hAnsi="宋体" w:cs="宋体" w:hint="eastAsia"/>
                <w:b/>
                <w:bCs/>
                <w:kern w:val="0"/>
                <w:sz w:val="21"/>
                <w:szCs w:val="21"/>
              </w:rPr>
              <w:t>备注</w:t>
            </w:r>
          </w:p>
        </w:tc>
      </w:tr>
      <w:tr w:rsidR="00EA18D8" w:rsidTr="0037289D">
        <w:trPr>
          <w:trHeight w:val="77"/>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1</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使用需求</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Cs/>
                <w:kern w:val="0"/>
                <w:sz w:val="24"/>
                <w:szCs w:val="21"/>
              </w:rPr>
            </w:pP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b/>
                <w:bCs/>
                <w:kern w:val="0"/>
                <w:sz w:val="24"/>
                <w:szCs w:val="21"/>
              </w:rPr>
            </w:pPr>
          </w:p>
        </w:tc>
      </w:tr>
      <w:tr w:rsidR="00EA18D8" w:rsidTr="0037289D">
        <w:trPr>
          <w:trHeight w:val="2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主要用途</w:t>
            </w:r>
          </w:p>
        </w:tc>
        <w:tc>
          <w:tcPr>
            <w:tcW w:w="5521" w:type="dxa"/>
            <w:tcBorders>
              <w:top w:val="nil"/>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宋体"/>
                <w:bCs/>
                <w:kern w:val="0"/>
                <w:szCs w:val="21"/>
              </w:rPr>
            </w:pPr>
            <w:r>
              <w:rPr>
                <w:rFonts w:ascii="宋体" w:eastAsia="宋体" w:hAnsi="宋体" w:cs="宋体" w:hint="eastAsia"/>
                <w:bCs/>
                <w:kern w:val="0"/>
                <w:szCs w:val="21"/>
              </w:rPr>
              <w:t>主要用于研究高原脑体作业能力体液标志物和急性高原病预警标志物基因的定性和定量分析，用于研究慢性高原病，例如高原红细胞增多病的基因SNP位点突变情况，寻找慢性高原病的诊断和预警标志。</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p>
        </w:tc>
      </w:tr>
      <w:tr w:rsidR="00EA18D8" w:rsidTr="0037289D">
        <w:trPr>
          <w:trHeight w:val="330"/>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1636" w:type="dxa"/>
            <w:tcBorders>
              <w:top w:val="single" w:sz="4" w:space="0" w:color="auto"/>
              <w:left w:val="nil"/>
              <w:bottom w:val="single" w:sz="4" w:space="0" w:color="auto"/>
              <w:right w:val="single" w:sz="4" w:space="0" w:color="auto"/>
            </w:tcBorders>
            <w:shd w:val="clear" w:color="000000" w:fill="auto"/>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测试对象</w:t>
            </w:r>
          </w:p>
        </w:tc>
        <w:tc>
          <w:tcPr>
            <w:tcW w:w="5521" w:type="dxa"/>
            <w:tcBorders>
              <w:top w:val="single" w:sz="4" w:space="0" w:color="auto"/>
              <w:left w:val="nil"/>
              <w:bottom w:val="single" w:sz="4" w:space="0" w:color="auto"/>
              <w:right w:val="single" w:sz="4" w:space="0" w:color="auto"/>
            </w:tcBorders>
            <w:shd w:val="clear" w:color="000000" w:fill="auto"/>
            <w:vAlign w:val="center"/>
          </w:tcPr>
          <w:p w:rsidR="00EA18D8" w:rsidRDefault="00EA18D8" w:rsidP="0037289D">
            <w:pPr>
              <w:widowControl/>
              <w:spacing w:line="360" w:lineRule="exact"/>
              <w:jc w:val="left"/>
              <w:rPr>
                <w:rFonts w:ascii="宋体" w:eastAsia="宋体" w:hAnsi="宋体" w:cs="宋体"/>
                <w:bCs/>
                <w:kern w:val="0"/>
                <w:sz w:val="21"/>
                <w:szCs w:val="21"/>
              </w:rPr>
            </w:pPr>
            <w:r>
              <w:rPr>
                <w:rFonts w:ascii="宋体" w:eastAsia="宋体" w:hAnsi="宋体" w:cs="宋体" w:hint="eastAsia"/>
                <w:bCs/>
                <w:kern w:val="0"/>
                <w:sz w:val="21"/>
                <w:szCs w:val="21"/>
              </w:rPr>
              <w:t>核酸样品</w:t>
            </w:r>
          </w:p>
        </w:tc>
        <w:tc>
          <w:tcPr>
            <w:tcW w:w="1483" w:type="dxa"/>
            <w:tcBorders>
              <w:top w:val="single" w:sz="4" w:space="0" w:color="auto"/>
              <w:left w:val="nil"/>
              <w:bottom w:val="single" w:sz="4" w:space="0" w:color="auto"/>
              <w:right w:val="single" w:sz="8" w:space="0" w:color="auto"/>
            </w:tcBorders>
            <w:shd w:val="clear" w:color="000000" w:fill="auto"/>
            <w:vAlign w:val="center"/>
          </w:tcPr>
          <w:p w:rsidR="00EA18D8" w:rsidRDefault="00EA18D8" w:rsidP="0037289D">
            <w:pPr>
              <w:widowControl/>
              <w:spacing w:line="360" w:lineRule="exact"/>
              <w:jc w:val="center"/>
              <w:rPr>
                <w:rFonts w:ascii="宋体" w:eastAsia="宋体" w:hAnsi="宋体" w:cs="宋体"/>
                <w:kern w:val="0"/>
                <w:sz w:val="21"/>
                <w:szCs w:val="21"/>
              </w:rPr>
            </w:pPr>
          </w:p>
        </w:tc>
      </w:tr>
      <w:tr w:rsidR="00EA18D8" w:rsidTr="0037289D">
        <w:trPr>
          <w:trHeight w:val="110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Cs/>
                <w:kern w:val="0"/>
                <w:sz w:val="21"/>
                <w:szCs w:val="21"/>
              </w:rPr>
            </w:pPr>
            <w:r>
              <w:rPr>
                <w:rFonts w:ascii="宋体" w:eastAsia="宋体" w:hAnsi="宋体" w:cs="宋体" w:hint="eastAsia"/>
                <w:bCs/>
                <w:kern w:val="0"/>
                <w:sz w:val="21"/>
                <w:szCs w:val="21"/>
              </w:rPr>
              <w:t>1.3</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Cs/>
                <w:kern w:val="0"/>
                <w:sz w:val="21"/>
                <w:szCs w:val="21"/>
              </w:rPr>
            </w:pPr>
            <w:r>
              <w:rPr>
                <w:rFonts w:ascii="宋体" w:eastAsia="宋体" w:hAnsi="宋体" w:cs="宋体" w:hint="eastAsia"/>
                <w:bCs/>
                <w:kern w:val="0"/>
                <w:sz w:val="21"/>
                <w:szCs w:val="21"/>
              </w:rPr>
              <w:t>特殊功能需求</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bCs/>
                <w:kern w:val="0"/>
                <w:sz w:val="21"/>
                <w:szCs w:val="21"/>
              </w:rPr>
            </w:pPr>
            <w:r>
              <w:rPr>
                <w:rFonts w:ascii="宋体" w:eastAsia="宋体" w:hAnsi="宋体" w:cs="宋体" w:hint="eastAsia"/>
                <w:bCs/>
                <w:kern w:val="0"/>
                <w:sz w:val="21"/>
                <w:szCs w:val="21"/>
              </w:rPr>
              <w:t>无</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b/>
                <w:bCs/>
                <w:kern w:val="0"/>
                <w:sz w:val="21"/>
                <w:szCs w:val="21"/>
              </w:rPr>
            </w:pPr>
          </w:p>
        </w:tc>
      </w:tr>
      <w:tr w:rsidR="00EA18D8" w:rsidTr="0037289D">
        <w:trPr>
          <w:trHeight w:val="77"/>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kern w:val="0"/>
                <w:sz w:val="24"/>
                <w:szCs w:val="21"/>
              </w:rPr>
            </w:pPr>
            <w:r>
              <w:rPr>
                <w:rFonts w:ascii="宋体" w:eastAsia="宋体" w:hAnsi="宋体" w:cs="宋体" w:hint="eastAsia"/>
                <w:b/>
                <w:kern w:val="0"/>
                <w:sz w:val="24"/>
                <w:szCs w:val="21"/>
              </w:rPr>
              <w:t>2</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目标技术参数</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r>
              <w:rPr>
                <w:rFonts w:ascii="宋体" w:eastAsia="宋体" w:hAnsi="宋体" w:cs="宋体" w:hint="eastAsia"/>
                <w:b/>
                <w:bCs/>
                <w:kern w:val="0"/>
                <w:sz w:val="24"/>
                <w:szCs w:val="21"/>
              </w:rPr>
              <w:t>一行只写一个参数</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143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kern w:val="0"/>
                <w:sz w:val="21"/>
                <w:szCs w:val="21"/>
              </w:rPr>
              <w:t>1</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★参数1</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仿宋_GB2312"/>
                <w:sz w:val="21"/>
                <w:szCs w:val="21"/>
              </w:rPr>
            </w:pPr>
            <w:r>
              <w:rPr>
                <w:rFonts w:ascii="宋体" w:eastAsia="宋体" w:hAnsi="宋体" w:cs="仿宋_GB2312" w:hint="eastAsia"/>
                <w:color w:val="FF0000"/>
                <w:sz w:val="21"/>
                <w:szCs w:val="21"/>
              </w:rPr>
              <w:t>具有≥5个独立的LED光源</w:t>
            </w:r>
            <w:r>
              <w:rPr>
                <w:rFonts w:ascii="宋体" w:eastAsia="宋体" w:hAnsi="宋体" w:cs="仿宋_GB2312" w:hint="eastAsia"/>
                <w:sz w:val="21"/>
                <w:szCs w:val="21"/>
              </w:rPr>
              <w:t>，每个光源配置1个滤光片，光源使用寿命≥10000小时；</w:t>
            </w:r>
            <w:r>
              <w:rPr>
                <w:rFonts w:ascii="宋体" w:eastAsia="宋体" w:hAnsi="宋体" w:cs="仿宋_GB2312" w:hint="eastAsia"/>
                <w:color w:val="FF0000"/>
                <w:sz w:val="21"/>
                <w:szCs w:val="21"/>
              </w:rPr>
              <w:t>具有≥5个一一对应的独立检测器并且带专用FRET检测通道</w:t>
            </w:r>
            <w:r>
              <w:rPr>
                <w:rFonts w:ascii="宋体" w:eastAsia="宋体" w:hAnsi="宋体" w:cs="仿宋_GB2312" w:hint="eastAsia"/>
                <w:sz w:val="21"/>
                <w:szCs w:val="21"/>
              </w:rPr>
              <w:t>。</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2371"/>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kern w:val="0"/>
                <w:sz w:val="21"/>
                <w:szCs w:val="21"/>
              </w:rPr>
              <w:t>2</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★参数2</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温度精确度：</w:t>
            </w:r>
            <w:r>
              <w:rPr>
                <w:rFonts w:ascii="宋体" w:eastAsia="宋体" w:hAnsi="宋体" w:cs="宋体" w:hint="eastAsia"/>
                <w:color w:val="FF0000"/>
                <w:kern w:val="0"/>
                <w:sz w:val="21"/>
                <w:szCs w:val="21"/>
              </w:rPr>
              <w:t>温度设定90℃时,温度差异≤±0.2℃；温度均一性：达到设定温度10秒内的温度均一性≤±0.3℃；需具有动态温度梯度功能（非线性温度梯度），所有步骤的温度都是同时达到，无时间差，可一次性同时优化≥8个退火温度；</w:t>
            </w:r>
            <w:r>
              <w:rPr>
                <w:rFonts w:ascii="宋体" w:eastAsia="宋体" w:hAnsi="宋体" w:cs="宋体" w:hint="eastAsia"/>
                <w:bCs/>
                <w:color w:val="FF0000"/>
                <w:kern w:val="0"/>
                <w:sz w:val="21"/>
                <w:szCs w:val="21"/>
              </w:rPr>
              <w:t>具有高分辨熔点曲线分析功能（HRM），熔点曲线分辨率≤0.1℃。</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1287"/>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2.3</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▲参数3</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bCs/>
                <w:kern w:val="0"/>
                <w:sz w:val="21"/>
                <w:szCs w:val="21"/>
              </w:rPr>
            </w:pPr>
            <w:r>
              <w:rPr>
                <w:rFonts w:ascii="宋体" w:eastAsia="宋体" w:hAnsi="宋体" w:cs="宋体" w:hint="eastAsia"/>
                <w:bCs/>
                <w:kern w:val="0"/>
                <w:sz w:val="21"/>
                <w:szCs w:val="21"/>
              </w:rPr>
              <w:t>仪器控制分析软件具有内参稳定性分析功能，可自动计算内参稳定系数（M值）并根据国际标准（同质性样本&lt;0.5，异质性样本&lt;1.0）进行判定；软件既能</w:t>
            </w:r>
            <w:r>
              <w:rPr>
                <w:rFonts w:ascii="宋体" w:eastAsia="宋体" w:hAnsi="宋体" w:cs="宋体" w:hint="eastAsia"/>
                <w:sz w:val="21"/>
                <w:szCs w:val="21"/>
              </w:rPr>
              <w:t>控制仪器（控制仪器开关盖）</w:t>
            </w:r>
            <w:r>
              <w:rPr>
                <w:rFonts w:ascii="宋体" w:eastAsia="宋体" w:hAnsi="宋体" w:cs="宋体" w:hint="eastAsia"/>
                <w:bCs/>
                <w:kern w:val="0"/>
                <w:sz w:val="21"/>
                <w:szCs w:val="21"/>
              </w:rPr>
              <w:t>、又可在数秒内完成数据t-检验和方差统计学分析；</w:t>
            </w:r>
            <w:r>
              <w:rPr>
                <w:rFonts w:ascii="宋体" w:eastAsia="宋体" w:hAnsi="宋体" w:cs="宋体" w:hint="eastAsia"/>
                <w:sz w:val="21"/>
                <w:szCs w:val="21"/>
              </w:rPr>
              <w:t>主机配置角度可调的大型触摸屏；样品反应体积：至少包括5-50µl的体系范围。</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hint="eastAsia"/>
                <w:kern w:val="0"/>
                <w:sz w:val="21"/>
                <w:szCs w:val="21"/>
              </w:rPr>
            </w:pPr>
          </w:p>
        </w:tc>
      </w:tr>
      <w:tr w:rsidR="00EA18D8" w:rsidTr="0037289D">
        <w:trPr>
          <w:trHeight w:val="42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2.4</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参数4</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hint="eastAsia"/>
                <w:sz w:val="21"/>
                <w:szCs w:val="21"/>
              </w:rPr>
            </w:pPr>
            <w:r>
              <w:rPr>
                <w:rFonts w:ascii="宋体" w:eastAsia="宋体" w:hAnsi="宋体" w:cs="宋体" w:hint="eastAsia"/>
                <w:bCs/>
                <w:kern w:val="0"/>
                <w:sz w:val="21"/>
                <w:szCs w:val="21"/>
              </w:rPr>
              <w:t>荧光检测模式：顶部逐孔扫描检测。</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hint="eastAsia"/>
                <w:kern w:val="0"/>
                <w:sz w:val="21"/>
                <w:szCs w:val="21"/>
              </w:rPr>
            </w:pPr>
          </w:p>
        </w:tc>
      </w:tr>
      <w:tr w:rsidR="00EA18D8" w:rsidTr="0037289D">
        <w:trPr>
          <w:trHeight w:val="340"/>
        </w:trPr>
        <w:tc>
          <w:tcPr>
            <w:tcW w:w="832" w:type="dxa"/>
            <w:tcBorders>
              <w:top w:val="single" w:sz="4" w:space="0" w:color="auto"/>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参数5</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sz w:val="21"/>
                <w:szCs w:val="21"/>
              </w:rPr>
            </w:pPr>
            <w:r>
              <w:rPr>
                <w:rFonts w:ascii="宋体" w:eastAsia="宋体" w:hAnsi="宋体"/>
                <w:sz w:val="21"/>
                <w:szCs w:val="21"/>
              </w:rPr>
              <w:t>每个温度步骤都可设置荧光读取步骤，支持染料法和探针法同时在一板上运行。</w:t>
            </w:r>
          </w:p>
        </w:tc>
        <w:tc>
          <w:tcPr>
            <w:tcW w:w="1483" w:type="dxa"/>
            <w:tcBorders>
              <w:top w:val="single" w:sz="4" w:space="0" w:color="auto"/>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hint="eastAsia"/>
                <w:kern w:val="0"/>
                <w:sz w:val="21"/>
                <w:szCs w:val="21"/>
              </w:rPr>
            </w:pPr>
          </w:p>
        </w:tc>
      </w:tr>
      <w:tr w:rsidR="00EA18D8" w:rsidTr="0037289D">
        <w:trPr>
          <w:trHeight w:val="34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2.6</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参数6</w:t>
            </w:r>
          </w:p>
        </w:tc>
        <w:tc>
          <w:tcPr>
            <w:tcW w:w="5521" w:type="dxa"/>
            <w:tcBorders>
              <w:top w:val="nil"/>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hint="eastAsia"/>
                <w:sz w:val="21"/>
                <w:szCs w:val="21"/>
              </w:rPr>
            </w:pPr>
            <w:r>
              <w:rPr>
                <w:rFonts w:ascii="宋体" w:eastAsia="宋体" w:hAnsi="宋体" w:hint="eastAsia"/>
                <w:sz w:val="21"/>
                <w:szCs w:val="21"/>
              </w:rPr>
              <w:t>具有阈值法和回归法等</w:t>
            </w:r>
            <w:r>
              <w:rPr>
                <w:rFonts w:ascii="宋体" w:eastAsia="宋体" w:hAnsi="宋体" w:cs="宋体" w:hint="eastAsia"/>
                <w:kern w:val="0"/>
                <w:sz w:val="21"/>
                <w:szCs w:val="21"/>
              </w:rPr>
              <w:t>≥</w:t>
            </w:r>
            <w:r>
              <w:rPr>
                <w:rFonts w:ascii="宋体" w:eastAsia="宋体" w:hAnsi="宋体" w:hint="eastAsia"/>
                <w:sz w:val="21"/>
                <w:szCs w:val="21"/>
              </w:rPr>
              <w:t>2种方法判断Cq值。</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rPr>
                <w:rFonts w:ascii="宋体" w:eastAsia="宋体" w:hAnsi="宋体" w:cs="宋体" w:hint="eastAsia"/>
                <w:kern w:val="0"/>
                <w:sz w:val="21"/>
                <w:szCs w:val="21"/>
              </w:rPr>
            </w:pPr>
          </w:p>
        </w:tc>
      </w:tr>
      <w:tr w:rsidR="00EA18D8" w:rsidTr="0037289D">
        <w:trPr>
          <w:trHeight w:val="34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2.7</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参数7</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sz w:val="21"/>
                <w:szCs w:val="21"/>
              </w:rPr>
            </w:pPr>
            <w:r>
              <w:rPr>
                <w:rFonts w:ascii="宋体" w:eastAsia="宋体" w:hAnsi="宋体" w:cs="宋体" w:hint="eastAsia"/>
                <w:sz w:val="21"/>
                <w:szCs w:val="21"/>
              </w:rPr>
              <w:t>具有断电保护功能；在突然停电后来电时可直接运行尚未完成的程序，保护实验数据。</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51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2.8</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参数8</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sz w:val="21"/>
                <w:szCs w:val="21"/>
              </w:rPr>
            </w:pPr>
            <w:r>
              <w:rPr>
                <w:rFonts w:ascii="宋体" w:eastAsia="宋体" w:hAnsi="宋体" w:cs="宋体" w:hint="eastAsia"/>
                <w:sz w:val="21"/>
                <w:szCs w:val="21"/>
              </w:rPr>
              <w:t>分析控制软件具有中文和英文操作可选，至少可免费安装≥20台电脑。</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34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2.9</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参数9</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hint="eastAsia"/>
                <w:sz w:val="21"/>
                <w:szCs w:val="21"/>
              </w:rPr>
            </w:pPr>
            <w:r>
              <w:rPr>
                <w:rFonts w:ascii="宋体" w:eastAsia="宋体" w:hAnsi="宋体" w:cs="宋体" w:hint="eastAsia"/>
                <w:sz w:val="21"/>
                <w:szCs w:val="21"/>
              </w:rPr>
              <w:t>分析控制软件可自动计算目标基因的校正表达量，并可以图表形式显示结果，</w:t>
            </w:r>
            <w:r>
              <w:rPr>
                <w:rFonts w:ascii="宋体" w:eastAsia="宋体" w:hAnsi="宋体" w:cs="宋体" w:hint="eastAsia"/>
                <w:kern w:val="0"/>
                <w:sz w:val="21"/>
                <w:szCs w:val="21"/>
              </w:rPr>
              <w:t>具备</w:t>
            </w:r>
            <w:r>
              <w:rPr>
                <w:rFonts w:ascii="宋体" w:eastAsia="宋体" w:hAnsi="宋体" w:cs="宋体"/>
                <w:kern w:val="0"/>
                <w:sz w:val="21"/>
                <w:szCs w:val="21"/>
              </w:rPr>
              <w:t>自定义创建</w:t>
            </w:r>
            <w:r>
              <w:rPr>
                <w:rFonts w:ascii="宋体" w:eastAsia="宋体" w:hAnsi="宋体" w:cs="宋体" w:hint="eastAsia"/>
                <w:kern w:val="0"/>
                <w:sz w:val="21"/>
                <w:szCs w:val="21"/>
              </w:rPr>
              <w:t>功能，</w:t>
            </w:r>
            <w:r>
              <w:rPr>
                <w:rFonts w:ascii="宋体" w:eastAsia="宋体" w:hAnsi="宋体" w:cs="宋体"/>
                <w:kern w:val="0"/>
                <w:sz w:val="21"/>
                <w:szCs w:val="21"/>
              </w:rPr>
              <w:t>可修改颜色、字体、标题和图例说明，并用P值、文字和箭头标注图片。</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47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2.10</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参数10</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hint="eastAsia"/>
                <w:sz w:val="21"/>
                <w:szCs w:val="21"/>
              </w:rPr>
            </w:pPr>
            <w:r>
              <w:rPr>
                <w:rFonts w:ascii="宋体" w:eastAsia="宋体" w:hAnsi="宋体" w:cs="宋体" w:hint="eastAsia"/>
                <w:sz w:val="21"/>
                <w:szCs w:val="21"/>
              </w:rPr>
              <w:t>具有无限多板联合分析功能，可显示板间校正因子。</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45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2.11</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参数11</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hint="eastAsia"/>
                <w:sz w:val="21"/>
                <w:szCs w:val="21"/>
              </w:rPr>
            </w:pPr>
            <w:r>
              <w:rPr>
                <w:rFonts w:ascii="宋体" w:eastAsia="宋体" w:hAnsi="宋体" w:cs="宋体" w:hint="eastAsia"/>
                <w:sz w:val="21"/>
                <w:szCs w:val="21"/>
              </w:rPr>
              <w:t>通讯方式：USB 2.0或者以上直接连接、以太网连接和WiFi连接。</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45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2.12</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参数12</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spacing w:line="360" w:lineRule="exact"/>
              <w:rPr>
                <w:rFonts w:ascii="宋体" w:eastAsia="宋体" w:hAnsi="宋体" w:cs="宋体" w:hint="eastAsia"/>
                <w:sz w:val="21"/>
                <w:szCs w:val="21"/>
              </w:rPr>
            </w:pPr>
            <w:r>
              <w:rPr>
                <w:rFonts w:ascii="宋体" w:eastAsia="宋体" w:hAnsi="宋体" w:cs="宋体" w:hint="eastAsia"/>
                <w:sz w:val="21"/>
                <w:szCs w:val="21"/>
              </w:rPr>
              <w:t>仪器应终身无需光程校正</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rPr>
                <w:rFonts w:ascii="宋体" w:eastAsia="宋体" w:hAnsi="宋体" w:cs="宋体"/>
                <w:kern w:val="0"/>
                <w:sz w:val="21"/>
                <w:szCs w:val="21"/>
              </w:rPr>
            </w:pPr>
          </w:p>
        </w:tc>
      </w:tr>
      <w:tr w:rsidR="00EA18D8" w:rsidTr="0037289D">
        <w:trPr>
          <w:trHeight w:val="77"/>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kern w:val="0"/>
                <w:sz w:val="24"/>
                <w:szCs w:val="21"/>
              </w:rPr>
            </w:pPr>
            <w:r>
              <w:rPr>
                <w:rFonts w:ascii="宋体" w:eastAsia="宋体" w:hAnsi="宋体" w:cs="宋体" w:hint="eastAsia"/>
                <w:b/>
                <w:kern w:val="0"/>
                <w:sz w:val="24"/>
                <w:szCs w:val="21"/>
              </w:rPr>
              <w:t>3</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配置需求</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r>
              <w:rPr>
                <w:rFonts w:ascii="宋体" w:eastAsia="宋体" w:hAnsi="宋体" w:cs="宋体" w:hint="eastAsia"/>
                <w:b/>
                <w:bCs/>
                <w:kern w:val="0"/>
                <w:sz w:val="24"/>
                <w:szCs w:val="21"/>
              </w:rPr>
              <w:t>一行只写一个配置</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2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3.1</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配置1</w:t>
            </w:r>
          </w:p>
        </w:tc>
        <w:tc>
          <w:tcPr>
            <w:tcW w:w="5521" w:type="dxa"/>
            <w:tcBorders>
              <w:top w:val="nil"/>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仿宋_GB2312"/>
                <w:szCs w:val="21"/>
              </w:rPr>
            </w:pPr>
            <w:r>
              <w:rPr>
                <w:rFonts w:ascii="宋体" w:eastAsia="宋体" w:hAnsi="宋体" w:cs="宋体" w:hint="eastAsia"/>
                <w:kern w:val="0"/>
                <w:szCs w:val="21"/>
              </w:rPr>
              <w:t>实时荧光定量PCR系统主机1台</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2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3.2</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1"/>
                <w:szCs w:val="21"/>
              </w:rPr>
            </w:pPr>
            <w:r>
              <w:rPr>
                <w:rFonts w:ascii="宋体" w:eastAsia="宋体" w:hAnsi="宋体" w:cs="宋体" w:hint="eastAsia"/>
                <w:kern w:val="0"/>
                <w:sz w:val="21"/>
                <w:szCs w:val="21"/>
              </w:rPr>
              <w:t>配置2</w:t>
            </w:r>
          </w:p>
        </w:tc>
        <w:tc>
          <w:tcPr>
            <w:tcW w:w="5521" w:type="dxa"/>
            <w:tcBorders>
              <w:top w:val="nil"/>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仿宋_GB2312"/>
                <w:szCs w:val="21"/>
              </w:rPr>
            </w:pPr>
            <w:r>
              <w:rPr>
                <w:rFonts w:ascii="宋体" w:eastAsia="宋体" w:hAnsi="宋体" w:cs="仿宋_GB2312" w:hint="eastAsia"/>
                <w:szCs w:val="21"/>
              </w:rPr>
              <w:t>分析及控制软件1套</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20"/>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3.3</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配置3</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仿宋_GB2312"/>
                <w:szCs w:val="21"/>
              </w:rPr>
            </w:pPr>
            <w:r>
              <w:rPr>
                <w:rFonts w:ascii="宋体" w:eastAsia="宋体" w:hAnsi="宋体" w:cs="宋体" w:hint="eastAsia"/>
                <w:bCs/>
                <w:kern w:val="0"/>
                <w:szCs w:val="21"/>
              </w:rPr>
              <w:t>高分辨熔点曲线分析（HRM）软件1套</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20"/>
        </w:trPr>
        <w:tc>
          <w:tcPr>
            <w:tcW w:w="832" w:type="dxa"/>
            <w:tcBorders>
              <w:top w:val="single" w:sz="4" w:space="0" w:color="auto"/>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3.4</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配置4</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仿宋_GB2312" w:hint="eastAsia"/>
                <w:szCs w:val="21"/>
              </w:rPr>
            </w:pPr>
            <w:r>
              <w:rPr>
                <w:rFonts w:ascii="宋体" w:eastAsia="宋体" w:hAnsi="宋体" w:cs="仿宋_GB2312" w:hint="eastAsia"/>
                <w:szCs w:val="21"/>
              </w:rPr>
              <w:t>高精密净化稳压电源1台</w:t>
            </w:r>
          </w:p>
        </w:tc>
        <w:tc>
          <w:tcPr>
            <w:tcW w:w="1483" w:type="dxa"/>
            <w:tcBorders>
              <w:top w:val="single" w:sz="4" w:space="0" w:color="auto"/>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r w:rsidR="00EA18D8" w:rsidTr="0037289D">
        <w:trPr>
          <w:trHeight w:val="20"/>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3.5</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配置5</w:t>
            </w:r>
          </w:p>
        </w:tc>
        <w:tc>
          <w:tcPr>
            <w:tcW w:w="5521" w:type="dxa"/>
            <w:tcBorders>
              <w:top w:val="nil"/>
              <w:left w:val="nil"/>
              <w:bottom w:val="single" w:sz="4" w:space="0" w:color="auto"/>
              <w:right w:val="single" w:sz="4" w:space="0" w:color="auto"/>
            </w:tcBorders>
            <w:vAlign w:val="center"/>
          </w:tcPr>
          <w:p w:rsidR="00EA18D8" w:rsidRDefault="00EA18D8" w:rsidP="0037289D">
            <w:pPr>
              <w:pStyle w:val="1"/>
              <w:spacing w:line="360" w:lineRule="exact"/>
              <w:ind w:firstLineChars="0" w:firstLine="0"/>
              <w:rPr>
                <w:rFonts w:ascii="宋体" w:eastAsia="宋体" w:hAnsi="宋体" w:cs="仿宋_GB2312" w:hint="eastAsia"/>
                <w:szCs w:val="21"/>
              </w:rPr>
            </w:pPr>
            <w:r>
              <w:rPr>
                <w:rFonts w:ascii="宋体" w:eastAsia="宋体" w:hAnsi="宋体" w:cs="仿宋_GB2312" w:hint="eastAsia"/>
                <w:szCs w:val="21"/>
              </w:rPr>
              <w:t>电脑工作站1台（配置不低于G6400/8G/1TB/集显HD610/DVD-RW /23吋显示器/Windows10系统）</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60" w:lineRule="exact"/>
              <w:jc w:val="center"/>
              <w:rPr>
                <w:rFonts w:ascii="宋体" w:eastAsia="宋体" w:hAnsi="宋体" w:cs="宋体"/>
                <w:kern w:val="0"/>
                <w:sz w:val="24"/>
                <w:szCs w:val="21"/>
              </w:rPr>
            </w:pPr>
          </w:p>
        </w:tc>
      </w:tr>
    </w:tbl>
    <w:p w:rsidR="00EA18D8" w:rsidRDefault="00EA18D8" w:rsidP="00EA18D8">
      <w:pPr>
        <w:overflowPunct w:val="0"/>
        <w:spacing w:beforeLines="50" w:before="156" w:afterLines="50" w:after="156" w:line="360" w:lineRule="auto"/>
        <w:jc w:val="left"/>
        <w:rPr>
          <w:rFonts w:ascii="黑体" w:eastAsia="黑体" w:hAnsi="黑体" w:hint="eastAsia"/>
          <w:szCs w:val="44"/>
        </w:rPr>
      </w:pPr>
      <w:r>
        <w:rPr>
          <w:rFonts w:ascii="宋体" w:eastAsia="宋体" w:hAnsi="宋体" w:cs="宋体" w:hint="eastAsia"/>
          <w:kern w:val="0"/>
          <w:sz w:val="24"/>
          <w:szCs w:val="21"/>
        </w:rPr>
        <w:br w:type="page"/>
      </w:r>
      <w:r>
        <w:rPr>
          <w:rFonts w:ascii="黑体" w:eastAsia="黑体" w:hAnsi="黑体" w:hint="eastAsia"/>
          <w:szCs w:val="44"/>
        </w:rPr>
        <w:lastRenderedPageBreak/>
        <w:t>附件</w:t>
      </w:r>
      <w:r>
        <w:rPr>
          <w:rFonts w:ascii="黑体" w:eastAsia="黑体" w:hAnsi="黑体"/>
          <w:szCs w:val="44"/>
        </w:rPr>
        <w:t>2</w:t>
      </w:r>
      <w:bookmarkStart w:id="0" w:name="_GoBack"/>
      <w:bookmarkEnd w:id="0"/>
    </w:p>
    <w:p w:rsidR="00EA18D8" w:rsidRDefault="00EA18D8" w:rsidP="00EA18D8">
      <w:pPr>
        <w:spacing w:line="360" w:lineRule="auto"/>
        <w:jc w:val="center"/>
        <w:rPr>
          <w:rFonts w:ascii="宋体" w:eastAsia="宋体" w:hAnsi="宋体" w:cs="宋体" w:hint="eastAsia"/>
          <w:kern w:val="0"/>
          <w:sz w:val="24"/>
          <w:szCs w:val="21"/>
        </w:rPr>
      </w:pPr>
      <w:r>
        <w:rPr>
          <w:rFonts w:ascii="方正小标宋简体" w:eastAsia="方正小标宋简体" w:hAnsi="仿宋" w:hint="eastAsia"/>
          <w:sz w:val="44"/>
          <w:szCs w:val="44"/>
        </w:rPr>
        <w:t>实时荧光定量PCR系统经济要求</w:t>
      </w:r>
    </w:p>
    <w:tbl>
      <w:tblPr>
        <w:tblW w:w="9472" w:type="dxa"/>
        <w:tblInd w:w="-176" w:type="dxa"/>
        <w:tblLayout w:type="fixed"/>
        <w:tblLook w:val="0000" w:firstRow="0" w:lastRow="0" w:firstColumn="0" w:lastColumn="0" w:noHBand="0" w:noVBand="0"/>
      </w:tblPr>
      <w:tblGrid>
        <w:gridCol w:w="832"/>
        <w:gridCol w:w="1636"/>
        <w:gridCol w:w="5521"/>
        <w:gridCol w:w="1483"/>
      </w:tblGrid>
      <w:tr w:rsidR="00EA18D8" w:rsidTr="0037289D">
        <w:trPr>
          <w:trHeight w:val="53"/>
        </w:trPr>
        <w:tc>
          <w:tcPr>
            <w:tcW w:w="832"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序号</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技术和性能</w:t>
            </w:r>
          </w:p>
          <w:p w:rsidR="00EA18D8" w:rsidRDefault="00EA18D8" w:rsidP="0037289D">
            <w:pPr>
              <w:widowControl/>
              <w:spacing w:line="400" w:lineRule="exact"/>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参数名称</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技术参数和性能要求</w:t>
            </w:r>
          </w:p>
        </w:tc>
        <w:tc>
          <w:tcPr>
            <w:tcW w:w="1483"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400" w:lineRule="exact"/>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备注</w:t>
            </w:r>
          </w:p>
        </w:tc>
      </w:tr>
      <w:tr w:rsidR="00EA18D8" w:rsidTr="0037289D">
        <w:trPr>
          <w:trHeight w:val="77"/>
        </w:trPr>
        <w:tc>
          <w:tcPr>
            <w:tcW w:w="832" w:type="dxa"/>
            <w:tcBorders>
              <w:top w:val="nil"/>
              <w:left w:val="single" w:sz="8" w:space="0" w:color="auto"/>
              <w:bottom w:val="single" w:sz="4" w:space="0" w:color="auto"/>
              <w:right w:val="single" w:sz="4" w:space="0" w:color="auto"/>
            </w:tcBorders>
            <w:vAlign w:val="center"/>
          </w:tcPr>
          <w:p w:rsidR="00EA18D8" w:rsidRDefault="00EA18D8" w:rsidP="0037289D">
            <w:pPr>
              <w:widowControl/>
              <w:spacing w:line="32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1</w:t>
            </w:r>
          </w:p>
        </w:tc>
        <w:tc>
          <w:tcPr>
            <w:tcW w:w="1636"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到货时限及交付地点</w:t>
            </w:r>
          </w:p>
        </w:tc>
        <w:tc>
          <w:tcPr>
            <w:tcW w:w="5521" w:type="dxa"/>
            <w:tcBorders>
              <w:top w:val="nil"/>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合同签订后90日，重庆</w:t>
            </w:r>
          </w:p>
        </w:tc>
        <w:tc>
          <w:tcPr>
            <w:tcW w:w="1483" w:type="dxa"/>
            <w:tcBorders>
              <w:top w:val="nil"/>
              <w:left w:val="nil"/>
              <w:bottom w:val="single" w:sz="4" w:space="0" w:color="auto"/>
              <w:right w:val="single" w:sz="8" w:space="0" w:color="auto"/>
            </w:tcBorders>
            <w:vAlign w:val="center"/>
          </w:tcPr>
          <w:p w:rsidR="00EA18D8" w:rsidRDefault="00EA18D8" w:rsidP="0037289D">
            <w:pPr>
              <w:widowControl/>
              <w:spacing w:line="320" w:lineRule="exact"/>
              <w:jc w:val="center"/>
              <w:rPr>
                <w:rFonts w:ascii="宋体" w:eastAsia="宋体" w:hAnsi="宋体" w:cs="宋体"/>
                <w:kern w:val="0"/>
                <w:sz w:val="21"/>
                <w:szCs w:val="21"/>
              </w:rPr>
            </w:pPr>
          </w:p>
        </w:tc>
      </w:tr>
      <w:tr w:rsidR="00EA18D8" w:rsidTr="0037289D">
        <w:trPr>
          <w:trHeight w:val="77"/>
        </w:trPr>
        <w:tc>
          <w:tcPr>
            <w:tcW w:w="832" w:type="dxa"/>
            <w:tcBorders>
              <w:top w:val="single" w:sz="4" w:space="0" w:color="auto"/>
              <w:left w:val="single" w:sz="8" w:space="0" w:color="auto"/>
              <w:bottom w:val="single" w:sz="4" w:space="0" w:color="auto"/>
              <w:right w:val="single" w:sz="4" w:space="0" w:color="auto"/>
            </w:tcBorders>
            <w:vAlign w:val="center"/>
          </w:tcPr>
          <w:p w:rsidR="00EA18D8" w:rsidRDefault="00EA18D8" w:rsidP="0037289D">
            <w:pPr>
              <w:widowControl/>
              <w:spacing w:line="32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2</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免费保修期</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≥2年</w:t>
            </w:r>
          </w:p>
        </w:tc>
        <w:tc>
          <w:tcPr>
            <w:tcW w:w="1483" w:type="dxa"/>
            <w:tcBorders>
              <w:top w:val="single" w:sz="4" w:space="0" w:color="auto"/>
              <w:left w:val="nil"/>
              <w:bottom w:val="single" w:sz="4" w:space="0" w:color="auto"/>
              <w:right w:val="single" w:sz="8" w:space="0" w:color="auto"/>
            </w:tcBorders>
            <w:vAlign w:val="center"/>
          </w:tcPr>
          <w:p w:rsidR="00EA18D8" w:rsidRDefault="00EA18D8" w:rsidP="0037289D">
            <w:pPr>
              <w:widowControl/>
              <w:spacing w:line="320" w:lineRule="exact"/>
              <w:jc w:val="center"/>
              <w:rPr>
                <w:rFonts w:ascii="宋体" w:eastAsia="宋体" w:hAnsi="宋体" w:cs="宋体"/>
                <w:kern w:val="0"/>
                <w:sz w:val="21"/>
                <w:szCs w:val="21"/>
              </w:rPr>
            </w:pPr>
          </w:p>
        </w:tc>
      </w:tr>
      <w:tr w:rsidR="00EA18D8" w:rsidTr="0037289D">
        <w:trPr>
          <w:trHeight w:val="77"/>
        </w:trPr>
        <w:tc>
          <w:tcPr>
            <w:tcW w:w="832" w:type="dxa"/>
            <w:tcBorders>
              <w:top w:val="single" w:sz="4" w:space="0" w:color="auto"/>
              <w:left w:val="single" w:sz="8" w:space="0" w:color="auto"/>
              <w:bottom w:val="single" w:sz="4" w:space="0" w:color="auto"/>
              <w:right w:val="single" w:sz="4" w:space="0" w:color="auto"/>
            </w:tcBorders>
            <w:vAlign w:val="center"/>
          </w:tcPr>
          <w:p w:rsidR="00EA18D8" w:rsidRDefault="00EA18D8" w:rsidP="0037289D">
            <w:pPr>
              <w:widowControl/>
              <w:spacing w:line="320" w:lineRule="exact"/>
              <w:jc w:val="center"/>
              <w:rPr>
                <w:rFonts w:ascii="宋体" w:eastAsia="宋体" w:hAnsi="宋体" w:cs="宋体" w:hint="eastAsia"/>
                <w:kern w:val="0"/>
                <w:sz w:val="21"/>
                <w:szCs w:val="21"/>
              </w:rPr>
            </w:pPr>
            <w:r>
              <w:rPr>
                <w:rFonts w:ascii="宋体" w:eastAsia="宋体" w:hAnsi="宋体" w:cs="宋体" w:hint="eastAsia"/>
                <w:kern w:val="0"/>
                <w:sz w:val="21"/>
                <w:szCs w:val="21"/>
              </w:rPr>
              <w:t>3</w:t>
            </w:r>
          </w:p>
        </w:tc>
        <w:tc>
          <w:tcPr>
            <w:tcW w:w="1636"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出现故障回应时间</w:t>
            </w:r>
          </w:p>
        </w:tc>
        <w:tc>
          <w:tcPr>
            <w:tcW w:w="5521" w:type="dxa"/>
            <w:tcBorders>
              <w:top w:val="single" w:sz="4" w:space="0" w:color="auto"/>
              <w:left w:val="nil"/>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维修到达现场时间≤ 6小时（本地）</w:t>
            </w:r>
          </w:p>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维修到达现场时间≤24小时（外地）</w:t>
            </w:r>
          </w:p>
        </w:tc>
        <w:tc>
          <w:tcPr>
            <w:tcW w:w="1483" w:type="dxa"/>
            <w:tcBorders>
              <w:top w:val="single" w:sz="4" w:space="0" w:color="auto"/>
              <w:left w:val="nil"/>
              <w:bottom w:val="single" w:sz="4" w:space="0" w:color="auto"/>
              <w:right w:val="single" w:sz="8" w:space="0" w:color="auto"/>
            </w:tcBorders>
            <w:vAlign w:val="center"/>
          </w:tcPr>
          <w:p w:rsidR="00EA18D8" w:rsidRDefault="00EA18D8" w:rsidP="0037289D">
            <w:pPr>
              <w:widowControl/>
              <w:spacing w:line="320" w:lineRule="exact"/>
              <w:jc w:val="center"/>
              <w:rPr>
                <w:rFonts w:ascii="宋体" w:eastAsia="宋体" w:hAnsi="宋体" w:cs="宋体"/>
                <w:kern w:val="0"/>
                <w:sz w:val="21"/>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4</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维修支持</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配件供应时间≥10年，保修期内配件免费，超期收配件费</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5</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耗材及零配件</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提供耗材及主要零配件目录（含报价）（如有）</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6</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维修资料</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提供详细操作手册、维修保养手册、安装手册等（如有）</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7</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维修工具</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提供维修专用工具1套（如有）</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8</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color w:val="FF0000"/>
                <w:kern w:val="0"/>
                <w:sz w:val="21"/>
                <w:szCs w:val="21"/>
              </w:rPr>
            </w:pPr>
            <w:r>
              <w:rPr>
                <w:rFonts w:ascii="宋体" w:eastAsia="宋体" w:hAnsi="宋体" w:cs="宋体" w:hint="eastAsia"/>
                <w:color w:val="FF0000"/>
                <w:kern w:val="0"/>
                <w:sz w:val="21"/>
                <w:szCs w:val="21"/>
              </w:rPr>
              <w:t>预防性维修</w:t>
            </w:r>
            <w:r>
              <w:rPr>
                <w:rFonts w:ascii="宋体" w:eastAsia="宋体" w:hAnsi="宋体" w:cs="宋体" w:hint="eastAsia"/>
                <w:color w:val="FF0000"/>
                <w:kern w:val="0"/>
                <w:sz w:val="21"/>
                <w:szCs w:val="21"/>
              </w:rPr>
              <w:br/>
              <w:t>/定期维护保养</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color w:val="FF0000"/>
                <w:kern w:val="0"/>
                <w:sz w:val="21"/>
                <w:szCs w:val="21"/>
              </w:rPr>
            </w:pPr>
            <w:r>
              <w:rPr>
                <w:rFonts w:ascii="宋体" w:eastAsia="宋体" w:hAnsi="宋体" w:cs="宋体" w:hint="eastAsia"/>
                <w:color w:val="FF0000"/>
                <w:kern w:val="0"/>
                <w:sz w:val="21"/>
                <w:szCs w:val="21"/>
              </w:rPr>
              <w:t>保修期内每6个月定期进行维护保养服务</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9</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维修密码支持</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开放</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10</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升级</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终身免费软件升级</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11</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使用培训</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kern w:val="0"/>
                <w:sz w:val="21"/>
                <w:szCs w:val="21"/>
              </w:rPr>
            </w:pPr>
            <w:r>
              <w:rPr>
                <w:rFonts w:ascii="宋体" w:eastAsia="宋体" w:hAnsi="宋体" w:cs="宋体" w:hint="eastAsia"/>
                <w:kern w:val="0"/>
                <w:sz w:val="21"/>
                <w:szCs w:val="21"/>
              </w:rPr>
              <w:t>支持至少2次</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r w:rsidR="00EA18D8" w:rsidTr="0037289D">
        <w:trPr>
          <w:trHeight w:val="77"/>
        </w:trPr>
        <w:tc>
          <w:tcPr>
            <w:tcW w:w="832"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r>
              <w:rPr>
                <w:rFonts w:ascii="宋体" w:eastAsia="宋体" w:hAnsi="宋体" w:cs="宋体" w:hint="eastAsia"/>
                <w:kern w:val="0"/>
                <w:sz w:val="21"/>
                <w:szCs w:val="21"/>
              </w:rPr>
              <w:t>12</w:t>
            </w:r>
          </w:p>
        </w:tc>
        <w:tc>
          <w:tcPr>
            <w:tcW w:w="1636"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工程师培训</w:t>
            </w:r>
          </w:p>
        </w:tc>
        <w:tc>
          <w:tcPr>
            <w:tcW w:w="5521" w:type="dxa"/>
            <w:tcBorders>
              <w:top w:val="single" w:sz="4" w:space="0" w:color="auto"/>
              <w:left w:val="single" w:sz="4" w:space="0" w:color="auto"/>
              <w:bottom w:val="single" w:sz="4" w:space="0" w:color="auto"/>
              <w:right w:val="single" w:sz="4" w:space="0" w:color="auto"/>
            </w:tcBorders>
            <w:vAlign w:val="center"/>
          </w:tcPr>
          <w:p w:rsidR="00EA18D8" w:rsidRDefault="00EA18D8" w:rsidP="0037289D">
            <w:pPr>
              <w:widowControl/>
              <w:spacing w:line="36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支持至少2次</w:t>
            </w:r>
          </w:p>
        </w:tc>
        <w:tc>
          <w:tcPr>
            <w:tcW w:w="1483" w:type="dxa"/>
            <w:tcBorders>
              <w:top w:val="single" w:sz="4" w:space="0" w:color="auto"/>
              <w:left w:val="single" w:sz="4" w:space="0" w:color="auto"/>
              <w:bottom w:val="single" w:sz="4" w:space="0" w:color="auto"/>
              <w:right w:val="single" w:sz="4" w:space="0" w:color="auto"/>
            </w:tcBorders>
          </w:tcPr>
          <w:p w:rsidR="00EA18D8" w:rsidRDefault="00EA18D8" w:rsidP="0037289D">
            <w:pPr>
              <w:spacing w:line="360" w:lineRule="exact"/>
              <w:jc w:val="center"/>
              <w:rPr>
                <w:rFonts w:ascii="宋体" w:eastAsia="宋体" w:hAnsi="宋体" w:cs="宋体" w:hint="eastAsia"/>
                <w:kern w:val="0"/>
                <w:sz w:val="24"/>
                <w:szCs w:val="21"/>
              </w:rPr>
            </w:pPr>
          </w:p>
        </w:tc>
      </w:tr>
    </w:tbl>
    <w:p w:rsidR="008B271C" w:rsidRDefault="008B271C"/>
    <w:sectPr w:rsidR="008B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D8"/>
    <w:rsid w:val="008B271C"/>
    <w:rsid w:val="00EA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E673"/>
  <w15:chartTrackingRefBased/>
  <w15:docId w15:val="{CB8BAAA0-DD03-43B8-8AE2-6F0B0D50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18D8"/>
    <w:pPr>
      <w:widowControl w:val="0"/>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qFormat/>
    <w:rsid w:val="00EA18D8"/>
    <w:pPr>
      <w:ind w:firstLineChars="200" w:firstLine="420"/>
    </w:pPr>
    <w:rPr>
      <w:rFonts w:ascii="等线" w:eastAsia="等线" w:hAnsi="等线" w:cs="等线"/>
      <w:sz w:val="21"/>
      <w:szCs w:val="22"/>
    </w:rPr>
  </w:style>
  <w:style w:type="paragraph" w:styleId="a4">
    <w:name w:val="Body Text"/>
    <w:basedOn w:val="a"/>
    <w:link w:val="a5"/>
    <w:uiPriority w:val="99"/>
    <w:semiHidden/>
    <w:unhideWhenUsed/>
    <w:rsid w:val="00EA18D8"/>
    <w:pPr>
      <w:spacing w:after="120"/>
    </w:pPr>
  </w:style>
  <w:style w:type="character" w:customStyle="1" w:styleId="a5">
    <w:name w:val="正文文本 字符"/>
    <w:basedOn w:val="a1"/>
    <w:link w:val="a4"/>
    <w:uiPriority w:val="99"/>
    <w:semiHidden/>
    <w:rsid w:val="00EA18D8"/>
    <w:rPr>
      <w:rFonts w:ascii="Times New Roman" w:eastAsia="仿宋_GB2312" w:hAnsi="Times New Roman" w:cs="Times New Roman"/>
      <w:sz w:val="32"/>
      <w:szCs w:val="32"/>
    </w:rPr>
  </w:style>
  <w:style w:type="paragraph" w:styleId="a0">
    <w:name w:val="Body Text First Indent"/>
    <w:basedOn w:val="a4"/>
    <w:link w:val="a6"/>
    <w:uiPriority w:val="99"/>
    <w:semiHidden/>
    <w:unhideWhenUsed/>
    <w:rsid w:val="00EA18D8"/>
    <w:pPr>
      <w:ind w:firstLineChars="100" w:firstLine="420"/>
    </w:pPr>
  </w:style>
  <w:style w:type="character" w:customStyle="1" w:styleId="a6">
    <w:name w:val="正文首行缩进 字符"/>
    <w:basedOn w:val="a5"/>
    <w:link w:val="a0"/>
    <w:uiPriority w:val="99"/>
    <w:semiHidden/>
    <w:rsid w:val="00EA18D8"/>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1323</Characters>
  <Application>Microsoft Office Word</Application>
  <DocSecurity>0</DocSecurity>
  <Lines>11</Lines>
  <Paragraphs>3</Paragraphs>
  <ScaleCrop>false</ScaleCrop>
  <Company>微软中国</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2023-09-01T08:49:00Z</dcterms:created>
  <dcterms:modified xsi:type="dcterms:W3CDTF">2023-09-01T08:49:00Z</dcterms:modified>
</cp:coreProperties>
</file>