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eastAsia="方正大标宋简体"/>
          <w:sz w:val="96"/>
          <w:szCs w:val="130"/>
        </w:rPr>
      </w:pPr>
    </w:p>
    <w:p>
      <w:pPr>
        <w:snapToGrid w:val="0"/>
        <w:jc w:val="center"/>
        <w:outlineLvl w:val="0"/>
        <w:rPr>
          <w:rFonts w:hint="eastAsia" w:eastAsia="微软雅黑"/>
          <w:sz w:val="84"/>
          <w:szCs w:val="84"/>
          <w:lang w:val="en-US" w:eastAsia="zh-CN"/>
        </w:rPr>
      </w:pPr>
    </w:p>
    <w:p>
      <w:pPr>
        <w:snapToGrid w:val="0"/>
        <w:jc w:val="center"/>
        <w:outlineLvl w:val="0"/>
        <w:rPr>
          <w:rFonts w:eastAsia="方正大标宋简体"/>
          <w:sz w:val="44"/>
          <w:szCs w:val="44"/>
        </w:rPr>
      </w:pPr>
    </w:p>
    <w:p>
      <w:pPr>
        <w:snapToGrid w:val="0"/>
        <w:jc w:val="center"/>
        <w:outlineLvl w:val="0"/>
        <w:rPr>
          <w:rFonts w:eastAsia="Arial Unicode MS"/>
          <w:sz w:val="84"/>
          <w:szCs w:val="84"/>
        </w:rPr>
      </w:pPr>
      <w:r>
        <w:rPr>
          <w:rFonts w:hint="eastAsia" w:eastAsia="Arial Unicode MS"/>
          <w:sz w:val="84"/>
          <w:szCs w:val="84"/>
        </w:rPr>
        <w:t>询 价 文 件</w:t>
      </w:r>
    </w:p>
    <w:p>
      <w:pPr>
        <w:snapToGrid w:val="0"/>
        <w:jc w:val="center"/>
        <w:outlineLvl w:val="0"/>
        <w:rPr>
          <w:rFonts w:eastAsia="方正大标宋简体"/>
          <w:sz w:val="96"/>
          <w:szCs w:val="130"/>
        </w:rPr>
      </w:pPr>
    </w:p>
    <w:p>
      <w:pPr>
        <w:pStyle w:val="18"/>
      </w:pPr>
    </w:p>
    <w:p>
      <w:pPr>
        <w:pStyle w:val="18"/>
      </w:pPr>
    </w:p>
    <w:p>
      <w:pPr>
        <w:pStyle w:val="18"/>
      </w:pPr>
    </w:p>
    <w:p/>
    <w:p>
      <w:pPr>
        <w:snapToGrid w:val="0"/>
        <w:jc w:val="center"/>
        <w:outlineLvl w:val="0"/>
        <w:rPr>
          <w:rFonts w:eastAsia="方正大标宋简体"/>
          <w:sz w:val="96"/>
          <w:szCs w:val="130"/>
        </w:rPr>
      </w:pPr>
    </w:p>
    <w:p>
      <w:pPr>
        <w:snapToGrid w:val="0"/>
        <w:ind w:left="1400" w:leftChars="500"/>
        <w:outlineLvl w:val="0"/>
        <w:rPr>
          <w:rFonts w:eastAsia="方正大标宋简体"/>
          <w:sz w:val="96"/>
          <w:szCs w:val="130"/>
          <w:u w:val="single"/>
        </w:rPr>
      </w:pPr>
      <w:r>
        <w:rPr>
          <w:rFonts w:hint="eastAsia" w:eastAsia="微软雅黑"/>
          <w:sz w:val="44"/>
          <w:szCs w:val="44"/>
        </w:rPr>
        <w:t>项目名称：</w:t>
      </w:r>
      <w:r>
        <w:rPr>
          <w:rFonts w:hint="eastAsia" w:eastAsia="微软雅黑"/>
          <w:sz w:val="44"/>
          <w:szCs w:val="44"/>
          <w:u w:val="single"/>
        </w:rPr>
        <w:t xml:space="preserve"> </w:t>
      </w:r>
      <w:r>
        <w:rPr>
          <w:rFonts w:hint="eastAsia" w:eastAsia="微软雅黑"/>
          <w:sz w:val="44"/>
          <w:szCs w:val="44"/>
          <w:u w:val="single"/>
          <w:lang w:val="en-US" w:eastAsia="zh-CN"/>
        </w:rPr>
        <w:t xml:space="preserve"> 网球场建设工程</w:t>
      </w:r>
      <w:r>
        <w:rPr>
          <w:rFonts w:hint="eastAsia" w:ascii="仿宋_GB2312" w:hAnsi="仿宋_GB2312" w:eastAsia="仿宋_GB2312" w:cs="仿宋_GB2312"/>
          <w:sz w:val="36"/>
          <w:szCs w:val="36"/>
          <w:u w:val="single"/>
        </w:rPr>
        <w:t xml:space="preserve">   </w:t>
      </w:r>
    </w:p>
    <w:p>
      <w:pPr>
        <w:pStyle w:val="9"/>
        <w:snapToGrid w:val="0"/>
        <w:spacing w:line="240" w:lineRule="auto"/>
        <w:ind w:leftChars="343" w:firstLine="1540" w:firstLineChars="350"/>
        <w:outlineLvl w:val="0"/>
        <w:rPr>
          <w:rFonts w:eastAsia="微软雅黑"/>
          <w:szCs w:val="44"/>
        </w:rPr>
      </w:pPr>
    </w:p>
    <w:p>
      <w:pPr>
        <w:snapToGrid w:val="0"/>
        <w:ind w:left="1400" w:leftChars="500"/>
        <w:outlineLvl w:val="0"/>
        <w:rPr>
          <w:rFonts w:hint="eastAsia" w:eastAsia="仿宋_GB2312"/>
          <w:sz w:val="96"/>
          <w:szCs w:val="130"/>
          <w:lang w:val="en-US" w:eastAsia="zh-CN"/>
        </w:rPr>
      </w:pPr>
      <w:r>
        <w:rPr>
          <w:rFonts w:hint="eastAsia" w:eastAsia="微软雅黑"/>
          <w:sz w:val="44"/>
          <w:szCs w:val="44"/>
        </w:rPr>
        <w:t>采购单位：</w:t>
      </w:r>
      <w:r>
        <w:rPr>
          <w:rFonts w:hint="eastAsia" w:ascii="仿宋_GB2312" w:hAnsi="仿宋_GB2312" w:eastAsia="仿宋_GB2312" w:cs="仿宋_GB2312"/>
          <w:sz w:val="36"/>
          <w:szCs w:val="36"/>
          <w:u w:val="single"/>
        </w:rPr>
        <w:t>陆军军医大学</w:t>
      </w:r>
      <w:r>
        <w:rPr>
          <w:rFonts w:hint="eastAsia" w:ascii="仿宋_GB2312" w:hAnsi="仿宋_GB2312" w:eastAsia="仿宋_GB2312" w:cs="仿宋_GB2312"/>
          <w:sz w:val="36"/>
          <w:szCs w:val="36"/>
          <w:u w:val="single"/>
          <w:lang w:val="en-US" w:eastAsia="zh-CN"/>
        </w:rPr>
        <w:t>外训大队</w:t>
      </w:r>
    </w:p>
    <w:p>
      <w:pPr>
        <w:snapToGrid w:val="0"/>
        <w:ind w:left="2240" w:leftChars="800"/>
        <w:rPr>
          <w:rFonts w:eastAsia="微软雅黑"/>
          <w:sz w:val="44"/>
          <w:szCs w:val="44"/>
        </w:rPr>
      </w:pPr>
    </w:p>
    <w:p>
      <w:pPr>
        <w:snapToGrid w:val="0"/>
        <w:ind w:left="2240" w:leftChars="800"/>
        <w:rPr>
          <w:rFonts w:eastAsia="微软雅黑"/>
          <w:sz w:val="44"/>
          <w:szCs w:val="44"/>
        </w:rPr>
      </w:pPr>
    </w:p>
    <w:p>
      <w:pPr>
        <w:snapToGrid w:val="0"/>
        <w:jc w:val="center"/>
        <w:outlineLvl w:val="0"/>
        <w:rPr>
          <w:rFonts w:eastAsia="方正大标宋简体"/>
          <w:sz w:val="96"/>
          <w:szCs w:val="130"/>
        </w:rPr>
      </w:pPr>
      <w:r>
        <w:rPr>
          <w:rFonts w:hint="eastAsia" w:eastAsia="微软雅黑"/>
          <w:sz w:val="44"/>
          <w:szCs w:val="44"/>
        </w:rPr>
        <w:t>二○二三年</w:t>
      </w:r>
      <w:r>
        <w:rPr>
          <w:rFonts w:hint="eastAsia" w:eastAsia="微软雅黑"/>
          <w:sz w:val="44"/>
          <w:szCs w:val="44"/>
          <w:lang w:val="en-US" w:eastAsia="zh-CN"/>
        </w:rPr>
        <w:t>十一</w:t>
      </w:r>
      <w:r>
        <w:rPr>
          <w:rFonts w:hint="eastAsia" w:eastAsia="微软雅黑"/>
          <w:sz w:val="44"/>
          <w:szCs w:val="44"/>
        </w:rPr>
        <w:t>月</w:t>
      </w:r>
    </w:p>
    <w:p>
      <w:pPr>
        <w:snapToGrid w:val="0"/>
        <w:rPr>
          <w:rFonts w:eastAsia="方正大标宋简体"/>
          <w:sz w:val="44"/>
          <w:szCs w:val="44"/>
        </w:rPr>
      </w:pPr>
    </w:p>
    <w:p>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pPr>
        <w:pStyle w:val="3"/>
        <w:numPr>
          <w:ilvl w:val="0"/>
          <w:numId w:val="1"/>
        </w:numPr>
        <w:jc w:val="center"/>
        <w:rPr>
          <w:rFonts w:ascii="微软雅黑" w:hAnsi="微软雅黑" w:eastAsia="微软雅黑" w:cs="微软雅黑"/>
          <w:b w:val="0"/>
          <w:bCs w:val="0"/>
          <w:szCs w:val="28"/>
        </w:rPr>
      </w:pPr>
      <w:r>
        <w:rPr>
          <w:rFonts w:hint="eastAsia" w:ascii="微软雅黑" w:hAnsi="微软雅黑" w:eastAsia="微软雅黑" w:cs="微软雅黑"/>
          <w:b w:val="0"/>
          <w:bCs w:val="0"/>
          <w:szCs w:val="28"/>
        </w:rPr>
        <w:t>询价公告</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我</w:t>
      </w:r>
      <w:r>
        <w:rPr>
          <w:rFonts w:hint="eastAsia" w:ascii="楷体_GB2312" w:hAnsi="楷体_GB2312" w:eastAsia="楷体_GB2312" w:cs="楷体_GB2312"/>
          <w:szCs w:val="28"/>
          <w:lang w:val="en-US" w:eastAsia="zh-CN"/>
        </w:rPr>
        <w:t>单位</w:t>
      </w:r>
      <w:r>
        <w:rPr>
          <w:rFonts w:hint="eastAsia" w:ascii="楷体_GB2312" w:hAnsi="楷体_GB2312" w:eastAsia="楷体_GB2312" w:cs="楷体_GB2312"/>
          <w:szCs w:val="28"/>
        </w:rPr>
        <w:t>就以下项目进行询价采购，</w:t>
      </w:r>
      <w:r>
        <w:rPr>
          <w:rFonts w:hint="eastAsia" w:ascii="楷体_GB2312" w:hAnsi="楷体_GB2312" w:eastAsia="楷体_GB2312" w:cs="楷体_GB2312"/>
          <w:szCs w:val="28"/>
          <w:lang w:val="en-US" w:eastAsia="zh-CN"/>
        </w:rPr>
        <w:t>采购资金已全部落实，</w:t>
      </w:r>
      <w:r>
        <w:rPr>
          <w:rFonts w:hint="eastAsia" w:ascii="楷体_GB2312" w:hAnsi="楷体_GB2312" w:eastAsia="楷体_GB2312" w:cs="楷体_GB2312"/>
          <w:szCs w:val="28"/>
        </w:rPr>
        <w:t>欢迎有资格的供应商参加该项目询价。</w:t>
      </w:r>
    </w:p>
    <w:p>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lang w:val="en-US" w:eastAsia="zh-CN"/>
        </w:rPr>
        <w:t>网球场建设工程</w:t>
      </w:r>
    </w:p>
    <w:p>
      <w:pPr>
        <w:numPr>
          <w:ilvl w:val="0"/>
          <w:numId w:val="2"/>
        </w:numPr>
        <w:adjustRightInd w:val="0"/>
        <w:snapToGrid w:val="0"/>
        <w:spacing w:line="480" w:lineRule="exact"/>
        <w:ind w:left="0" w:firstLine="560" w:firstLineChars="200"/>
        <w:rPr>
          <w:rFonts w:hint="eastAsia" w:ascii="仿宋" w:hAnsi="仿宋" w:eastAsia="仿宋" w:cs="仿宋"/>
          <w:kern w:val="0"/>
          <w:u w:val="single"/>
          <w:lang w:val="en-US" w:eastAsia="zh-CN"/>
        </w:rPr>
      </w:pPr>
      <w:r>
        <w:rPr>
          <w:rFonts w:hint="eastAsia" w:ascii="黑体" w:hAnsi="黑体" w:eastAsia="黑体" w:cs="黑体"/>
          <w:szCs w:val="28"/>
        </w:rPr>
        <w:t>项目预算：</w:t>
      </w:r>
      <w:r>
        <w:rPr>
          <w:rFonts w:hint="eastAsia" w:ascii="仿宋" w:hAnsi="仿宋" w:eastAsia="仿宋" w:cs="仿宋"/>
          <w:kern w:val="0"/>
          <w:u w:val="single"/>
          <w:lang w:val="en-US" w:eastAsia="zh-CN"/>
        </w:rPr>
        <w:t xml:space="preserve">   19 万元    </w:t>
      </w:r>
    </w:p>
    <w:p>
      <w:pPr>
        <w:numPr>
          <w:ilvl w:val="0"/>
          <w:numId w:val="2"/>
        </w:numPr>
        <w:adjustRightInd w:val="0"/>
        <w:snapToGrid w:val="0"/>
        <w:spacing w:line="480" w:lineRule="exact"/>
        <w:ind w:left="0" w:firstLine="560" w:firstLineChars="200"/>
        <w:rPr>
          <w:rFonts w:hint="eastAsia" w:ascii="仿宋" w:hAnsi="仿宋" w:eastAsia="仿宋" w:cs="仿宋"/>
          <w:kern w:val="0"/>
          <w:u w:val="single"/>
          <w:lang w:val="en-US" w:eastAsia="zh-CN"/>
        </w:rPr>
      </w:pPr>
      <w:r>
        <w:rPr>
          <w:rFonts w:hint="eastAsia" w:ascii="黑体" w:hAnsi="黑体" w:eastAsia="黑体" w:cs="黑体"/>
          <w:szCs w:val="28"/>
        </w:rPr>
        <w:t>项目单位：</w:t>
      </w:r>
      <w:r>
        <w:rPr>
          <w:rFonts w:hint="eastAsia" w:ascii="仿宋" w:hAnsi="仿宋" w:eastAsia="仿宋" w:cs="仿宋"/>
          <w:kern w:val="0"/>
          <w:u w:val="single"/>
          <w:lang w:val="en-US" w:eastAsia="zh-CN"/>
        </w:rPr>
        <w:t>陆军军医大学外训大队</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p>
      <w:pPr>
        <w:pStyle w:val="2"/>
        <w:ind w:firstLine="640" w:firstLineChars="200"/>
      </w:pPr>
      <w:r>
        <w:rPr>
          <w:rFonts w:hint="eastAsia" w:ascii="仿宋_GB2312" w:hAnsi="仿宋_GB2312" w:cs="仿宋_GB2312"/>
          <w:b w:val="0"/>
          <w:bCs w:val="0"/>
          <w:i w:val="0"/>
          <w:iCs w:val="0"/>
          <w:caps w:val="0"/>
          <w:color w:val="2F2F2F"/>
          <w:spacing w:val="0"/>
          <w:kern w:val="0"/>
          <w:sz w:val="32"/>
          <w:szCs w:val="32"/>
          <w:vertAlign w:val="baseline"/>
          <w:lang w:val="en-US" w:eastAsia="zh-CN" w:bidi="ar"/>
        </w:rPr>
        <w:t>我部拟修建面积约七八百平方米的网球场，工程涉及清除施工现场绿植、双杠等障碍物，平整场地，建排水沟、分层铺筑球场，安装立杆、围网、入口等。</w:t>
      </w:r>
    </w:p>
    <w:tbl>
      <w:tblPr>
        <w:tblStyle w:val="19"/>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95"/>
        <w:gridCol w:w="660"/>
        <w:gridCol w:w="1236"/>
        <w:gridCol w:w="1005"/>
        <w:gridCol w:w="1102"/>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372"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973"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379"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710" w:type="pct"/>
            <w:vAlign w:val="center"/>
          </w:tcPr>
          <w:p>
            <w:pPr>
              <w:pStyle w:val="9"/>
              <w:spacing w:line="240" w:lineRule="atLeast"/>
              <w:ind w:left="0"/>
              <w:jc w:val="center"/>
              <w:outlineLvl w:val="0"/>
              <w:rPr>
                <w:rFonts w:hint="eastAsia" w:eastAsiaTheme="minorEastAsia"/>
                <w:b/>
                <w:sz w:val="21"/>
                <w:szCs w:val="21"/>
                <w:lang w:eastAsia="zh-CN"/>
              </w:rPr>
            </w:pPr>
            <w:r>
              <w:rPr>
                <w:rFonts w:hint="eastAsia" w:eastAsiaTheme="minorEastAsia"/>
                <w:b/>
                <w:sz w:val="21"/>
                <w:szCs w:val="21"/>
              </w:rPr>
              <w:t>数量</w:t>
            </w:r>
            <w:r>
              <w:rPr>
                <w:rFonts w:hint="eastAsia" w:eastAsiaTheme="minorEastAsia"/>
                <w:b/>
                <w:sz w:val="21"/>
                <w:szCs w:val="21"/>
                <w:lang w:eastAsia="zh-CN"/>
              </w:rPr>
              <w:t>（</w:t>
            </w:r>
            <w:r>
              <w:rPr>
                <w:rFonts w:hint="eastAsia" w:eastAsiaTheme="minorEastAsia"/>
                <w:b/>
                <w:sz w:val="21"/>
                <w:szCs w:val="21"/>
                <w:lang w:val="en-US" w:eastAsia="zh-CN"/>
              </w:rPr>
              <w:t>以实际建造面积为准</w:t>
            </w:r>
            <w:r>
              <w:rPr>
                <w:rFonts w:hint="eastAsia" w:eastAsiaTheme="minorEastAsia"/>
                <w:b/>
                <w:sz w:val="21"/>
                <w:szCs w:val="21"/>
                <w:lang w:eastAsia="zh-CN"/>
              </w:rPr>
              <w:t>）</w:t>
            </w:r>
          </w:p>
        </w:tc>
        <w:tc>
          <w:tcPr>
            <w:tcW w:w="577" w:type="pct"/>
            <w:vAlign w:val="center"/>
          </w:tcPr>
          <w:p>
            <w:pPr>
              <w:pStyle w:val="9"/>
              <w:spacing w:line="240" w:lineRule="atLeast"/>
              <w:ind w:left="0"/>
              <w:jc w:val="center"/>
              <w:outlineLvl w:val="0"/>
              <w:rPr>
                <w:rFonts w:hint="eastAsia" w:eastAsiaTheme="minorEastAsia"/>
                <w:b/>
                <w:sz w:val="21"/>
                <w:szCs w:val="21"/>
                <w:lang w:val="en-US" w:eastAsia="zh-CN"/>
              </w:rPr>
            </w:pPr>
            <w:r>
              <w:rPr>
                <w:rFonts w:hint="eastAsia" w:eastAsiaTheme="minorEastAsia"/>
                <w:b/>
                <w:sz w:val="21"/>
                <w:szCs w:val="21"/>
                <w:lang w:val="en-US" w:eastAsia="zh-CN"/>
              </w:rPr>
              <w:t>交货时间</w:t>
            </w:r>
          </w:p>
        </w:tc>
        <w:tc>
          <w:tcPr>
            <w:tcW w:w="633" w:type="pct"/>
            <w:vAlign w:val="center"/>
          </w:tcPr>
          <w:p>
            <w:pPr>
              <w:pStyle w:val="9"/>
              <w:spacing w:line="240" w:lineRule="atLeast"/>
              <w:ind w:left="0"/>
              <w:jc w:val="center"/>
              <w:outlineLvl w:val="0"/>
              <w:rPr>
                <w:rFonts w:hint="eastAsia" w:eastAsiaTheme="minorEastAsia"/>
                <w:b/>
                <w:sz w:val="21"/>
                <w:szCs w:val="21"/>
                <w:lang w:val="en-US" w:eastAsia="zh-CN"/>
              </w:rPr>
            </w:pPr>
            <w:r>
              <w:rPr>
                <w:rFonts w:hint="eastAsia" w:eastAsiaTheme="minorEastAsia"/>
                <w:b/>
                <w:sz w:val="21"/>
                <w:szCs w:val="21"/>
                <w:lang w:val="en-US" w:eastAsia="zh-CN"/>
              </w:rPr>
              <w:t>交货地点</w:t>
            </w:r>
          </w:p>
        </w:tc>
        <w:tc>
          <w:tcPr>
            <w:tcW w:w="1353"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72" w:type="pct"/>
            <w:vAlign w:val="center"/>
          </w:tcPr>
          <w:p>
            <w:pPr>
              <w:pStyle w:val="6"/>
              <w:spacing w:line="240" w:lineRule="atLeast"/>
              <w:ind w:firstLine="0"/>
              <w:jc w:val="center"/>
              <w:outlineLvl w:val="0"/>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pPr>
            <w:r>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t>1</w:t>
            </w:r>
          </w:p>
        </w:tc>
        <w:tc>
          <w:tcPr>
            <w:tcW w:w="973" w:type="pct"/>
            <w:vAlign w:val="center"/>
          </w:tcPr>
          <w:p>
            <w:pPr>
              <w:pStyle w:val="9"/>
              <w:spacing w:line="240" w:lineRule="atLeast"/>
              <w:ind w:left="0"/>
              <w:jc w:val="both"/>
              <w:outlineLvl w:val="0"/>
              <w:rPr>
                <w:rFonts w:hint="default" w:ascii="仿宋_GB2312" w:hAnsi="仿宋_GB2312" w:eastAsia="仿宋_GB2312" w:cs="仿宋_GB2312"/>
                <w:b w:val="0"/>
                <w:bCs w:val="0"/>
                <w:i w:val="0"/>
                <w:iCs w:val="0"/>
                <w:caps w:val="0"/>
                <w:color w:val="2F2F2F"/>
                <w:spacing w:val="0"/>
                <w:kern w:val="0"/>
                <w:sz w:val="28"/>
                <w:szCs w:val="28"/>
                <w:vertAlign w:val="baseline"/>
                <w:lang w:val="en-US" w:eastAsia="zh-CN" w:bidi="ar-SA"/>
              </w:rPr>
            </w:pPr>
            <w:r>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t>网球场地面</w:t>
            </w:r>
          </w:p>
        </w:tc>
        <w:tc>
          <w:tcPr>
            <w:tcW w:w="379" w:type="pct"/>
            <w:vAlign w:val="center"/>
          </w:tcPr>
          <w:p>
            <w:pPr>
              <w:pStyle w:val="6"/>
              <w:spacing w:line="400" w:lineRule="exact"/>
              <w:ind w:firstLine="0"/>
              <w:jc w:val="center"/>
              <w:outlineLvl w:val="0"/>
              <w:rPr>
                <w:rFonts w:hint="default" w:ascii="仿宋_GB2312" w:hAnsi="仿宋_GB2312" w:eastAsia="仿宋_GB2312" w:cs="仿宋_GB2312"/>
                <w:b w:val="0"/>
                <w:bCs w:val="0"/>
                <w:i w:val="0"/>
                <w:iCs w:val="0"/>
                <w:caps w:val="0"/>
                <w:color w:val="2F2F2F"/>
                <w:spacing w:val="0"/>
                <w:kern w:val="0"/>
                <w:sz w:val="28"/>
                <w:szCs w:val="28"/>
                <w:vertAlign w:val="baseline"/>
                <w:lang w:val="en-US" w:eastAsia="zh-CN" w:bidi="ar-SA"/>
              </w:rPr>
            </w:pPr>
            <w:r>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t>平方米</w:t>
            </w:r>
          </w:p>
        </w:tc>
        <w:tc>
          <w:tcPr>
            <w:tcW w:w="710" w:type="pct"/>
            <w:vAlign w:val="center"/>
          </w:tcPr>
          <w:p>
            <w:pPr>
              <w:pStyle w:val="6"/>
              <w:spacing w:line="400" w:lineRule="exact"/>
              <w:ind w:firstLine="0"/>
              <w:jc w:val="center"/>
              <w:outlineLvl w:val="0"/>
              <w:rPr>
                <w:rFonts w:hint="default" w:ascii="仿宋_GB2312" w:hAnsi="仿宋_GB2312" w:eastAsia="仿宋_GB2312" w:cs="仿宋_GB2312"/>
                <w:b w:val="0"/>
                <w:bCs w:val="0"/>
                <w:i w:val="0"/>
                <w:iCs w:val="0"/>
                <w:caps w:val="0"/>
                <w:color w:val="2F2F2F"/>
                <w:spacing w:val="0"/>
                <w:kern w:val="0"/>
                <w:sz w:val="28"/>
                <w:szCs w:val="28"/>
                <w:vertAlign w:val="baseline"/>
                <w:lang w:val="en-US" w:eastAsia="zh-CN" w:bidi="ar-SA"/>
              </w:rPr>
            </w:pPr>
            <w:r>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t>1项</w:t>
            </w:r>
          </w:p>
        </w:tc>
        <w:tc>
          <w:tcPr>
            <w:tcW w:w="577" w:type="pct"/>
            <w:vMerge w:val="restart"/>
            <w:vAlign w:val="center"/>
          </w:tcPr>
          <w:p>
            <w:pPr>
              <w:pStyle w:val="6"/>
              <w:spacing w:line="400" w:lineRule="exact"/>
              <w:ind w:firstLine="0"/>
              <w:jc w:val="center"/>
              <w:outlineLvl w:val="0"/>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pPr>
            <w:r>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t>自合同签订之日起90天内</w:t>
            </w:r>
          </w:p>
        </w:tc>
        <w:tc>
          <w:tcPr>
            <w:tcW w:w="633" w:type="pct"/>
            <w:vMerge w:val="restart"/>
            <w:vAlign w:val="center"/>
          </w:tcPr>
          <w:p>
            <w:pPr>
              <w:pStyle w:val="6"/>
              <w:spacing w:line="400" w:lineRule="exact"/>
              <w:ind w:firstLine="0"/>
              <w:jc w:val="center"/>
              <w:outlineLvl w:val="0"/>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pPr>
            <w:r>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t>重庆市高新区大学城南路9号</w:t>
            </w:r>
          </w:p>
        </w:tc>
        <w:tc>
          <w:tcPr>
            <w:tcW w:w="1353" w:type="pct"/>
            <w:vAlign w:val="center"/>
          </w:tcPr>
          <w:p>
            <w:pPr>
              <w:pStyle w:val="6"/>
              <w:spacing w:line="400" w:lineRule="exact"/>
              <w:ind w:firstLine="0"/>
              <w:jc w:val="center"/>
              <w:outlineLvl w:val="0"/>
              <w:rPr>
                <w:rFonts w:hint="default" w:ascii="仿宋_GB2312" w:hAnsi="仿宋_GB2312" w:eastAsia="仿宋_GB2312" w:cs="仿宋_GB2312"/>
                <w:b w:val="0"/>
                <w:bCs w:val="0"/>
                <w:i w:val="0"/>
                <w:iCs w:val="0"/>
                <w:caps w:val="0"/>
                <w:color w:val="2F2F2F"/>
                <w:spacing w:val="0"/>
                <w:kern w:val="0"/>
                <w:sz w:val="28"/>
                <w:szCs w:val="28"/>
                <w:vertAlign w:val="baseline"/>
                <w:lang w:val="en-US" w:eastAsia="zh-CN" w:bidi="ar-SA"/>
              </w:rPr>
            </w:pPr>
            <w:r>
              <w:rPr>
                <w:rFonts w:hint="eastAsia" w:ascii="仿宋_GB2312" w:hAnsi="仿宋_GB2312" w:eastAsia="仿宋_GB2312" w:cs="仿宋_GB2312"/>
                <w:b w:val="0"/>
                <w:bCs w:val="0"/>
                <w:i w:val="0"/>
                <w:iCs w:val="0"/>
                <w:caps w:val="0"/>
                <w:color w:val="2F2F2F"/>
                <w:spacing w:val="0"/>
                <w:kern w:val="0"/>
                <w:sz w:val="32"/>
                <w:szCs w:val="32"/>
                <w:vertAlign w:val="baseline"/>
                <w:lang w:val="en-US" w:eastAsia="zh-CN" w:bidi="ar"/>
              </w:rPr>
              <w:t>分层铺筑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72" w:type="pct"/>
            <w:vAlign w:val="center"/>
          </w:tcPr>
          <w:p>
            <w:pPr>
              <w:pStyle w:val="6"/>
              <w:spacing w:line="240" w:lineRule="atLeast"/>
              <w:ind w:firstLine="0"/>
              <w:jc w:val="center"/>
              <w:outlineLvl w:val="0"/>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pPr>
            <w:r>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t>2</w:t>
            </w:r>
          </w:p>
        </w:tc>
        <w:tc>
          <w:tcPr>
            <w:tcW w:w="973" w:type="pct"/>
            <w:vAlign w:val="center"/>
          </w:tcPr>
          <w:p>
            <w:pPr>
              <w:pStyle w:val="9"/>
              <w:spacing w:line="240" w:lineRule="atLeast"/>
              <w:ind w:left="0"/>
              <w:jc w:val="both"/>
              <w:outlineLvl w:val="0"/>
              <w:rPr>
                <w:rFonts w:hint="default" w:ascii="仿宋_GB2312" w:hAnsi="仿宋_GB2312" w:eastAsia="仿宋_GB2312" w:cs="仿宋_GB2312"/>
                <w:b w:val="0"/>
                <w:bCs w:val="0"/>
                <w:i w:val="0"/>
                <w:iCs w:val="0"/>
                <w:caps w:val="0"/>
                <w:color w:val="2F2F2F"/>
                <w:spacing w:val="0"/>
                <w:kern w:val="0"/>
                <w:sz w:val="28"/>
                <w:szCs w:val="28"/>
                <w:vertAlign w:val="baseline"/>
                <w:lang w:val="en-US" w:eastAsia="zh-CN" w:bidi="ar-SA"/>
              </w:rPr>
            </w:pPr>
            <w:r>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t>网球场围网</w:t>
            </w:r>
          </w:p>
        </w:tc>
        <w:tc>
          <w:tcPr>
            <w:tcW w:w="379" w:type="pct"/>
            <w:vAlign w:val="center"/>
          </w:tcPr>
          <w:p>
            <w:pPr>
              <w:pStyle w:val="6"/>
              <w:spacing w:line="400" w:lineRule="exact"/>
              <w:ind w:firstLine="0"/>
              <w:jc w:val="center"/>
              <w:outlineLvl w:val="0"/>
              <w:rPr>
                <w:rFonts w:hint="default" w:ascii="仿宋_GB2312" w:hAnsi="仿宋_GB2312" w:eastAsia="仿宋_GB2312" w:cs="仿宋_GB2312"/>
                <w:b w:val="0"/>
                <w:bCs w:val="0"/>
                <w:i w:val="0"/>
                <w:iCs w:val="0"/>
                <w:caps w:val="0"/>
                <w:color w:val="2F2F2F"/>
                <w:spacing w:val="0"/>
                <w:kern w:val="0"/>
                <w:sz w:val="28"/>
                <w:szCs w:val="28"/>
                <w:vertAlign w:val="baseline"/>
                <w:lang w:val="en-US" w:eastAsia="zh-CN" w:bidi="ar-SA"/>
              </w:rPr>
            </w:pPr>
            <w:r>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t>平方米</w:t>
            </w:r>
          </w:p>
        </w:tc>
        <w:tc>
          <w:tcPr>
            <w:tcW w:w="710" w:type="pct"/>
            <w:vAlign w:val="center"/>
          </w:tcPr>
          <w:p>
            <w:pPr>
              <w:pStyle w:val="6"/>
              <w:spacing w:line="400" w:lineRule="exact"/>
              <w:ind w:firstLine="0"/>
              <w:jc w:val="center"/>
              <w:outlineLvl w:val="0"/>
              <w:rPr>
                <w:rFonts w:hint="default" w:ascii="仿宋_GB2312" w:hAnsi="仿宋_GB2312" w:eastAsia="仿宋_GB2312" w:cs="仿宋_GB2312"/>
                <w:b w:val="0"/>
                <w:bCs w:val="0"/>
                <w:i w:val="0"/>
                <w:iCs w:val="0"/>
                <w:caps w:val="0"/>
                <w:color w:val="2F2F2F"/>
                <w:spacing w:val="0"/>
                <w:kern w:val="0"/>
                <w:sz w:val="28"/>
                <w:szCs w:val="28"/>
                <w:vertAlign w:val="baseline"/>
                <w:lang w:val="en-US" w:eastAsia="zh-CN" w:bidi="ar-SA"/>
              </w:rPr>
            </w:pPr>
            <w:r>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t>1项</w:t>
            </w:r>
          </w:p>
        </w:tc>
        <w:tc>
          <w:tcPr>
            <w:tcW w:w="577" w:type="pct"/>
            <w:vMerge w:val="continue"/>
            <w:vAlign w:val="center"/>
          </w:tcPr>
          <w:p>
            <w:pPr>
              <w:pStyle w:val="6"/>
              <w:spacing w:line="400" w:lineRule="exact"/>
              <w:ind w:firstLine="0"/>
              <w:jc w:val="center"/>
              <w:outlineLvl w:val="0"/>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pPr>
          </w:p>
        </w:tc>
        <w:tc>
          <w:tcPr>
            <w:tcW w:w="633" w:type="pct"/>
            <w:vMerge w:val="continue"/>
            <w:vAlign w:val="center"/>
          </w:tcPr>
          <w:p>
            <w:pPr>
              <w:pStyle w:val="6"/>
              <w:spacing w:line="400" w:lineRule="exact"/>
              <w:ind w:firstLine="0"/>
              <w:jc w:val="center"/>
              <w:outlineLvl w:val="0"/>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pPr>
          </w:p>
        </w:tc>
        <w:tc>
          <w:tcPr>
            <w:tcW w:w="1353" w:type="pct"/>
            <w:vAlign w:val="center"/>
          </w:tcPr>
          <w:p>
            <w:pPr>
              <w:pStyle w:val="6"/>
              <w:spacing w:line="400" w:lineRule="exact"/>
              <w:ind w:firstLine="0"/>
              <w:jc w:val="left"/>
              <w:outlineLvl w:val="0"/>
              <w:rPr>
                <w:rFonts w:hint="default" w:ascii="仿宋_GB2312" w:hAnsi="仿宋_GB2312" w:eastAsia="仿宋_GB2312" w:cs="仿宋_GB2312"/>
                <w:b w:val="0"/>
                <w:bCs w:val="0"/>
                <w:i w:val="0"/>
                <w:iCs w:val="0"/>
                <w:caps w:val="0"/>
                <w:color w:val="2F2F2F"/>
                <w:spacing w:val="0"/>
                <w:kern w:val="0"/>
                <w:sz w:val="28"/>
                <w:szCs w:val="28"/>
                <w:vertAlign w:val="baseline"/>
                <w:lang w:val="en-US" w:eastAsia="zh-CN" w:bidi="ar-SA"/>
              </w:rPr>
            </w:pPr>
            <w:r>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t>框架、网片、配件需做防水处理</w:t>
            </w:r>
          </w:p>
        </w:tc>
      </w:tr>
    </w:tbl>
    <w:p>
      <w:pPr>
        <w:numPr>
          <w:ilvl w:val="0"/>
          <w:numId w:val="0"/>
        </w:numPr>
        <w:adjustRightInd w:val="0"/>
        <w:snapToGrid w:val="0"/>
        <w:spacing w:line="480" w:lineRule="exact"/>
        <w:ind w:firstLine="560" w:firstLineChars="200"/>
        <w:jc w:val="center"/>
        <w:rPr>
          <w:rFonts w:hint="eastAsia" w:ascii="宋体" w:hAnsi="宋体" w:eastAsia="宋体" w:cs="宋体"/>
          <w:b w:val="0"/>
          <w:bCs w:val="0"/>
          <w:i w:val="0"/>
          <w:iCs w:val="0"/>
          <w:caps w:val="0"/>
          <w:color w:val="2F2F2F"/>
          <w:spacing w:val="0"/>
          <w:kern w:val="0"/>
          <w:sz w:val="30"/>
          <w:szCs w:val="30"/>
          <w:vertAlign w:val="baseline"/>
          <w:lang w:val="en-US" w:eastAsia="zh-CN" w:bidi="ar-SA"/>
        </w:rPr>
      </w:pPr>
      <w:r>
        <w:rPr>
          <w:rFonts w:hint="eastAsia" w:ascii="仿宋_GB2312" w:hAnsi="仿宋_GB2312" w:eastAsia="仿宋_GB2312" w:cs="仿宋_GB2312"/>
          <w:b w:val="0"/>
          <w:bCs w:val="0"/>
          <w:i w:val="0"/>
          <w:iCs w:val="0"/>
          <w:caps w:val="0"/>
          <w:color w:val="2F2F2F"/>
          <w:spacing w:val="0"/>
          <w:kern w:val="0"/>
          <w:sz w:val="28"/>
          <w:szCs w:val="28"/>
          <w:vertAlign w:val="baseline"/>
          <w:lang w:val="en-US" w:eastAsia="zh-CN" w:bidi="ar-SA"/>
        </w:rPr>
        <w:t>（详细技术要求见第二部分）</w:t>
      </w:r>
    </w:p>
    <w:p>
      <w:pPr>
        <w:numPr>
          <w:ilvl w:val="0"/>
          <w:numId w:val="0"/>
        </w:numPr>
        <w:adjustRightInd w:val="0"/>
        <w:snapToGrid w:val="0"/>
        <w:spacing w:line="480" w:lineRule="exact"/>
        <w:ind w:firstLine="560" w:firstLineChars="200"/>
        <w:rPr>
          <w:rFonts w:ascii="黑体" w:hAnsi="黑体" w:eastAsia="黑体" w:cs="黑体"/>
          <w:szCs w:val="28"/>
        </w:rPr>
      </w:pPr>
      <w:r>
        <w:rPr>
          <w:rFonts w:hint="eastAsia" w:ascii="黑体" w:hAnsi="黑体" w:eastAsia="黑体" w:cs="黑体"/>
          <w:szCs w:val="28"/>
          <w:lang w:val="en-US" w:eastAsia="zh-CN"/>
        </w:rPr>
        <w:t>五、</w:t>
      </w:r>
      <w:r>
        <w:rPr>
          <w:rFonts w:hint="eastAsia" w:ascii="黑体" w:hAnsi="黑体" w:eastAsia="黑体" w:cs="黑体"/>
          <w:szCs w:val="28"/>
        </w:rPr>
        <w:t>供应商资格要求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3.具有履行协议所必需的设备和专业技术能力；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lang w:val="en-US" w:eastAsia="zh-CN"/>
        </w:rPr>
        <w:t>3.</w:t>
      </w:r>
      <w:r>
        <w:rPr>
          <w:rFonts w:hint="eastAsia" w:ascii="仿宋_GB2312" w:hAnsi="仿宋_GB2312" w:eastAsia="仿宋_GB2312" w:cs="仿宋_GB2312"/>
          <w:kern w:val="0"/>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lang w:val="en-US" w:eastAsia="zh-CN"/>
        </w:rPr>
        <w:t>4.投标人必须具备承包本项目工程的相应资格认证</w:t>
      </w:r>
      <w:r>
        <w:rPr>
          <w:rFonts w:hint="eastAsia" w:ascii="仿宋_GB2312" w:hAnsi="仿宋_GB2312" w:eastAsia="仿宋_GB2312" w:cs="仿宋_GB2312"/>
          <w:kern w:val="0"/>
          <w:szCs w:val="28"/>
        </w:rPr>
        <w:t>（以报价方提供的营业执照、经营许可证销售或代理授权书</w:t>
      </w:r>
      <w:r>
        <w:rPr>
          <w:rFonts w:hint="eastAsia" w:ascii="仿宋_GB2312" w:hAnsi="仿宋_GB2312" w:eastAsia="仿宋_GB2312" w:cs="仿宋_GB2312"/>
          <w:kern w:val="0"/>
          <w:szCs w:val="28"/>
          <w:lang w:eastAsia="zh-CN"/>
        </w:rPr>
        <w:t>、</w:t>
      </w:r>
      <w:r>
        <w:rPr>
          <w:rFonts w:hint="eastAsia" w:ascii="仿宋_GB2312" w:hAnsi="仿宋_GB2312" w:eastAsia="仿宋_GB2312" w:cs="仿宋_GB2312"/>
          <w:kern w:val="0"/>
          <w:szCs w:val="28"/>
          <w:lang w:val="en-US" w:eastAsia="zh-CN"/>
        </w:rPr>
        <w:t>施工资质及其登记标准</w:t>
      </w:r>
      <w:r>
        <w:rPr>
          <w:rFonts w:hint="eastAsia" w:ascii="仿宋_GB2312" w:hAnsi="仿宋_GB2312" w:eastAsia="仿宋_GB2312" w:cs="仿宋_GB2312"/>
          <w:kern w:val="0"/>
          <w:szCs w:val="28"/>
        </w:rPr>
        <w:t>等证明材料为准）</w:t>
      </w:r>
      <w:r>
        <w:rPr>
          <w:rFonts w:hint="eastAsia" w:ascii="仿宋_GB2312" w:hAnsi="仿宋_GB2312" w:eastAsia="仿宋_GB2312" w:cs="仿宋_GB2312"/>
          <w:kern w:val="0"/>
          <w:szCs w:val="28"/>
          <w:lang w:eastAsia="zh-CN"/>
        </w:rPr>
        <w:t>。</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lang w:val="en-US" w:eastAsia="zh-CN"/>
        </w:rPr>
        <w:t>5.</w:t>
      </w:r>
      <w:r>
        <w:rPr>
          <w:rFonts w:hint="eastAsia" w:ascii="仿宋_GB2312" w:hAnsi="仿宋_GB2312" w:eastAsia="仿宋_GB2312" w:cs="仿宋_GB2312"/>
          <w:kern w:val="0"/>
          <w:szCs w:val="28"/>
        </w:rPr>
        <w:t>如有其他特定资格条件，无则删除本条。（注：根据《军队物资服务采购评审管理暂行办法》（军后采﹝2022﹞058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560" w:firstLineChars="200"/>
        <w:textAlignment w:val="baseline"/>
        <w:rPr>
          <w:rFonts w:hint="eastAsia" w:ascii="宋体" w:hAnsi="宋体" w:eastAsia="宋体" w:cs="宋体"/>
          <w:i w:val="0"/>
          <w:iCs w:val="0"/>
          <w:caps w:val="0"/>
          <w:color w:val="2F2F2F"/>
          <w:spacing w:val="0"/>
          <w:sz w:val="30"/>
          <w:szCs w:val="30"/>
          <w:vertAlign w:val="baseline"/>
          <w:lang w:val="en-US" w:eastAsia="zh-CN"/>
        </w:rPr>
      </w:pPr>
      <w:r>
        <w:rPr>
          <w:rFonts w:hint="eastAsia" w:ascii="黑体" w:hAnsi="黑体" w:eastAsia="黑体" w:cs="黑体"/>
          <w:kern w:val="2"/>
          <w:sz w:val="28"/>
          <w:szCs w:val="28"/>
          <w:lang w:val="en-US" w:eastAsia="zh-CN" w:bidi="ar-SA"/>
        </w:rPr>
        <w:t>六、评审标准</w:t>
      </w:r>
    </w:p>
    <w:tbl>
      <w:tblPr>
        <w:tblStyle w:val="19"/>
        <w:tblW w:w="54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466"/>
        <w:gridCol w:w="1635"/>
        <w:gridCol w:w="667"/>
        <w:gridCol w:w="5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1" w:type="pct"/>
            <w:gridSpan w:val="2"/>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条款号</w:t>
            </w:r>
          </w:p>
        </w:tc>
        <w:tc>
          <w:tcPr>
            <w:tcW w:w="875"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评审因素</w:t>
            </w:r>
          </w:p>
        </w:tc>
        <w:tc>
          <w:tcPr>
            <w:tcW w:w="3363" w:type="pct"/>
            <w:gridSpan w:val="2"/>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61" w:type="pct"/>
            <w:gridSpan w:val="2"/>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1</w:t>
            </w:r>
          </w:p>
        </w:tc>
        <w:tc>
          <w:tcPr>
            <w:tcW w:w="875"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评标办法</w:t>
            </w:r>
          </w:p>
        </w:tc>
        <w:tc>
          <w:tcPr>
            <w:tcW w:w="3363" w:type="pct"/>
            <w:gridSpan w:val="2"/>
            <w:vAlign w:val="center"/>
          </w:tcPr>
          <w:p>
            <w:pPr>
              <w:keepNext w:val="0"/>
              <w:keepLines w:val="0"/>
              <w:pageBreakBefore w:val="0"/>
              <w:widowControl w:val="0"/>
              <w:kinsoku/>
              <w:overflowPunct/>
              <w:topLinePunct w:val="0"/>
              <w:bidi w:val="0"/>
              <w:spacing w:line="240" w:lineRule="auto"/>
              <w:ind w:firstLine="640" w:firstLineChars="200"/>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本次评标采用综合评估法</w:t>
            </w:r>
            <w:r>
              <w:rPr>
                <w:rFonts w:hint="eastAsia" w:ascii="仿宋_GB2312" w:hAnsi="仿宋_GB2312" w:eastAsia="仿宋_GB2312" w:cs="仿宋_GB2312"/>
                <w:b w:val="0"/>
                <w:bCs/>
                <w:color w:val="auto"/>
                <w:spacing w:val="-47"/>
                <w:kern w:val="0"/>
                <w:sz w:val="32"/>
                <w:szCs w:val="32"/>
                <w:highlight w:val="none"/>
              </w:rPr>
              <w:t>。</w:t>
            </w:r>
            <w:r>
              <w:rPr>
                <w:rFonts w:hint="eastAsia" w:ascii="仿宋_GB2312" w:hAnsi="仿宋_GB2312" w:eastAsia="仿宋_GB2312" w:cs="仿宋_GB2312"/>
                <w:b w:val="0"/>
                <w:bCs/>
                <w:color w:val="auto"/>
                <w:kern w:val="0"/>
                <w:sz w:val="32"/>
                <w:szCs w:val="32"/>
                <w:highlight w:val="none"/>
              </w:rPr>
              <w:t>评标委员会按照本章</w:t>
            </w:r>
            <w:r>
              <w:rPr>
                <w:rFonts w:hint="eastAsia" w:ascii="仿宋_GB2312" w:hAnsi="仿宋_GB2312" w:eastAsia="仿宋_GB2312" w:cs="仿宋_GB2312"/>
                <w:b w:val="0"/>
                <w:bCs/>
                <w:color w:val="auto"/>
                <w:spacing w:val="-1"/>
                <w:kern w:val="0"/>
                <w:sz w:val="32"/>
                <w:szCs w:val="32"/>
                <w:highlight w:val="none"/>
              </w:rPr>
              <w:t>规</w:t>
            </w:r>
            <w:r>
              <w:rPr>
                <w:rFonts w:hint="eastAsia" w:ascii="仿宋_GB2312" w:hAnsi="仿宋_GB2312" w:eastAsia="仿宋_GB2312" w:cs="仿宋_GB2312"/>
                <w:b w:val="0"/>
                <w:bCs/>
                <w:color w:val="auto"/>
                <w:kern w:val="0"/>
                <w:sz w:val="32"/>
                <w:szCs w:val="32"/>
                <w:highlight w:val="none"/>
              </w:rPr>
              <w:t>定的评分标准进行评分，按得分由高到低顺序推荐中标候选人</w:t>
            </w:r>
            <w:r>
              <w:rPr>
                <w:rFonts w:hint="eastAsia" w:ascii="仿宋_GB2312" w:hAnsi="仿宋_GB2312" w:eastAsia="仿宋_GB2312" w:cs="仿宋_GB2312"/>
                <w:b w:val="0"/>
                <w:bCs/>
                <w:color w:val="auto"/>
                <w:spacing w:val="-20"/>
                <w:kern w:val="0"/>
                <w:sz w:val="32"/>
                <w:szCs w:val="32"/>
                <w:highlight w:val="none"/>
              </w:rPr>
              <w:t>，</w:t>
            </w:r>
            <w:r>
              <w:rPr>
                <w:rFonts w:hint="eastAsia" w:ascii="仿宋_GB2312" w:hAnsi="仿宋_GB2312" w:eastAsia="仿宋_GB2312" w:cs="仿宋_GB2312"/>
                <w:b w:val="0"/>
                <w:bCs/>
                <w:color w:val="auto"/>
                <w:kern w:val="0"/>
                <w:sz w:val="32"/>
                <w:szCs w:val="32"/>
                <w:highlight w:val="none"/>
              </w:rPr>
              <w:t>或根据招标人授权直接确定中标人</w:t>
            </w:r>
            <w:r>
              <w:rPr>
                <w:rFonts w:hint="eastAsia" w:ascii="仿宋_GB2312" w:hAnsi="仿宋_GB2312" w:eastAsia="仿宋_GB2312" w:cs="仿宋_GB2312"/>
                <w:b w:val="0"/>
                <w:bCs/>
                <w:color w:val="auto"/>
                <w:spacing w:val="-31"/>
                <w:kern w:val="0"/>
                <w:sz w:val="32"/>
                <w:szCs w:val="32"/>
                <w:highlight w:val="none"/>
              </w:rPr>
              <w:t>。</w:t>
            </w:r>
            <w:r>
              <w:rPr>
                <w:rFonts w:hint="eastAsia" w:ascii="仿宋_GB2312" w:hAnsi="仿宋_GB2312" w:eastAsia="仿宋_GB2312" w:cs="仿宋_GB2312"/>
                <w:b w:val="0"/>
                <w:bCs/>
                <w:color w:val="auto"/>
                <w:kern w:val="0"/>
                <w:sz w:val="32"/>
                <w:szCs w:val="32"/>
                <w:highlight w:val="none"/>
              </w:rPr>
              <w:t>综合评分相等时</w:t>
            </w:r>
            <w:r>
              <w:rPr>
                <w:rFonts w:hint="eastAsia" w:ascii="仿宋_GB2312" w:hAnsi="仿宋_GB2312" w:eastAsia="仿宋_GB2312" w:cs="仿宋_GB2312"/>
                <w:b w:val="0"/>
                <w:bCs/>
                <w:color w:val="auto"/>
                <w:spacing w:val="-31"/>
                <w:kern w:val="0"/>
                <w:sz w:val="32"/>
                <w:szCs w:val="32"/>
                <w:highlight w:val="none"/>
              </w:rPr>
              <w:t>，</w:t>
            </w:r>
            <w:r>
              <w:rPr>
                <w:rFonts w:hint="eastAsia" w:ascii="仿宋_GB2312" w:hAnsi="仿宋_GB2312" w:eastAsia="仿宋_GB2312" w:cs="仿宋_GB2312"/>
                <w:b w:val="0"/>
                <w:bCs/>
                <w:color w:val="auto"/>
                <w:kern w:val="0"/>
                <w:sz w:val="32"/>
                <w:szCs w:val="32"/>
                <w:highlight w:val="none"/>
              </w:rPr>
              <w:t>以投标报价低的优先；投标报价相等的由评标委员会按照以下原则排序：</w:t>
            </w:r>
          </w:p>
          <w:p>
            <w:pPr>
              <w:keepNext w:val="0"/>
              <w:keepLines w:val="0"/>
              <w:pageBreakBefore w:val="0"/>
              <w:widowControl w:val="0"/>
              <w:numPr>
                <w:ilvl w:val="0"/>
                <w:numId w:val="3"/>
              </w:numPr>
              <w:kinsoku/>
              <w:overflowPunct/>
              <w:topLinePunct w:val="0"/>
              <w:bidi w:val="0"/>
              <w:spacing w:line="240" w:lineRule="auto"/>
              <w:ind w:left="492" w:leftChars="0" w:hanging="492" w:hangingChars="154"/>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u w:val="none"/>
              </w:rPr>
              <w:t>资质等级高的优先；</w:t>
            </w:r>
          </w:p>
          <w:p>
            <w:pPr>
              <w:keepNext w:val="0"/>
              <w:keepLines w:val="0"/>
              <w:pageBreakBefore w:val="0"/>
              <w:widowControl w:val="0"/>
              <w:numPr>
                <w:ilvl w:val="0"/>
                <w:numId w:val="3"/>
              </w:numPr>
              <w:kinsoku/>
              <w:overflowPunct/>
              <w:topLinePunct w:val="0"/>
              <w:bidi w:val="0"/>
              <w:spacing w:line="240" w:lineRule="auto"/>
              <w:ind w:left="492" w:leftChars="0" w:hanging="492" w:hangingChars="154"/>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u w:val="none"/>
              </w:rPr>
              <w:t>若资质等级相等，由评标委员会投票确定。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0" w:hRule="atLeast"/>
          <w:jc w:val="center"/>
        </w:trPr>
        <w:tc>
          <w:tcPr>
            <w:tcW w:w="511" w:type="pct"/>
            <w:vMerge w:val="restar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2.1.1</w:t>
            </w:r>
          </w:p>
        </w:tc>
        <w:tc>
          <w:tcPr>
            <w:tcW w:w="24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资格评审标准</w:t>
            </w:r>
          </w:p>
        </w:tc>
        <w:tc>
          <w:tcPr>
            <w:tcW w:w="875"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sz w:val="32"/>
                <w:szCs w:val="32"/>
                <w:highlight w:val="none"/>
              </w:rPr>
              <w:t>营业执照</w:t>
            </w:r>
          </w:p>
          <w:p>
            <w:pPr>
              <w:keepNext w:val="0"/>
              <w:keepLines w:val="0"/>
              <w:pageBreakBefore w:val="0"/>
              <w:widowControl w:val="0"/>
              <w:kinsoku/>
              <w:overflowPunct/>
              <w:topLinePunct w:val="0"/>
              <w:autoSpaceDE w:val="0"/>
              <w:autoSpaceDN w:val="0"/>
              <w:bidi w:val="0"/>
              <w:adjustRightInd w:val="0"/>
              <w:spacing w:line="240" w:lineRule="auto"/>
              <w:ind w:firstLine="640" w:firstLineChars="200"/>
              <w:jc w:val="center"/>
              <w:textAlignment w:val="auto"/>
              <w:rPr>
                <w:rFonts w:hint="eastAsia" w:ascii="仿宋_GB2312" w:hAnsi="仿宋_GB2312" w:eastAsia="仿宋_GB2312" w:cs="仿宋_GB2312"/>
                <w:b w:val="0"/>
                <w:bCs/>
                <w:color w:val="auto"/>
                <w:kern w:val="0"/>
                <w:sz w:val="32"/>
                <w:szCs w:val="32"/>
                <w:highlight w:val="none"/>
              </w:rPr>
            </w:pPr>
          </w:p>
        </w:tc>
        <w:tc>
          <w:tcPr>
            <w:tcW w:w="3363" w:type="pct"/>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left"/>
              <w:textAlignment w:val="auto"/>
              <w:rPr>
                <w:rFonts w:hint="eastAsia" w:ascii="仿宋_GB2312" w:hAnsi="仿宋_GB2312" w:eastAsia="仿宋_GB2312" w:cs="仿宋_GB2312"/>
                <w:b w:val="0"/>
                <w:bCs/>
                <w:color w:val="auto"/>
                <w:sz w:val="32"/>
                <w:szCs w:val="32"/>
                <w:highlight w:val="none"/>
                <w:u w:val="none"/>
              </w:rPr>
            </w:pPr>
            <w:r>
              <w:rPr>
                <w:rFonts w:hint="eastAsia" w:ascii="仿宋_GB2312" w:hAnsi="仿宋_GB2312" w:eastAsia="仿宋_GB2312" w:cs="仿宋_GB2312"/>
                <w:b w:val="0"/>
                <w:bCs/>
                <w:color w:val="auto"/>
                <w:sz w:val="32"/>
                <w:szCs w:val="32"/>
                <w:highlight w:val="none"/>
                <w:u w:val="none"/>
              </w:rPr>
              <w:t>具备有效的营业执照。</w:t>
            </w:r>
          </w:p>
          <w:p>
            <w:pPr>
              <w:keepNext w:val="0"/>
              <w:keepLines w:val="0"/>
              <w:pageBreakBefore w:val="0"/>
              <w:widowControl w:val="0"/>
              <w:kinsoku/>
              <w:overflowPunct/>
              <w:topLinePunct w:val="0"/>
              <w:autoSpaceDE w:val="0"/>
              <w:autoSpaceDN w:val="0"/>
              <w:bidi w:val="0"/>
              <w:adjustRightInd w:val="0"/>
              <w:spacing w:line="240" w:lineRule="auto"/>
              <w:jc w:val="left"/>
              <w:textAlignment w:val="auto"/>
              <w:rPr>
                <w:rFonts w:hint="default"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 w:val="0"/>
                <w:bCs/>
                <w:color w:val="auto"/>
                <w:sz w:val="32"/>
                <w:szCs w:val="32"/>
                <w:highlight w:val="none"/>
                <w:u w:val="none"/>
              </w:rPr>
              <w:t>投标人须在投标文件</w:t>
            </w:r>
            <w:r>
              <w:rPr>
                <w:rFonts w:hint="eastAsia" w:ascii="仿宋_GB2312" w:hAnsi="仿宋_GB2312" w:eastAsia="仿宋_GB2312" w:cs="仿宋_GB2312"/>
                <w:b w:val="0"/>
                <w:bCs/>
                <w:color w:val="auto"/>
                <w:sz w:val="32"/>
                <w:szCs w:val="32"/>
                <w:highlight w:val="none"/>
                <w:u w:val="none"/>
                <w:lang w:eastAsia="zh-CN"/>
              </w:rPr>
              <w:t>中</w:t>
            </w:r>
            <w:r>
              <w:rPr>
                <w:rFonts w:hint="eastAsia" w:ascii="仿宋_GB2312" w:hAnsi="仿宋_GB2312" w:eastAsia="仿宋_GB2312" w:cs="仿宋_GB2312"/>
                <w:b w:val="0"/>
                <w:bCs/>
                <w:color w:val="auto"/>
                <w:sz w:val="32"/>
                <w:szCs w:val="32"/>
                <w:highlight w:val="none"/>
                <w:u w:val="none"/>
              </w:rPr>
              <w:t>提供有效的带二维码标识的营业执照复印件</w:t>
            </w:r>
            <w:r>
              <w:rPr>
                <w:rFonts w:hint="eastAsia" w:ascii="仿宋_GB2312" w:hAnsi="仿宋_GB2312" w:eastAsia="仿宋_GB2312" w:cs="仿宋_GB2312"/>
                <w:b w:val="0"/>
                <w:bCs/>
                <w:color w:val="auto"/>
                <w:sz w:val="32"/>
                <w:szCs w:val="32"/>
                <w:highlight w:val="none"/>
                <w:u w:val="none"/>
                <w:lang w:val="en-US" w:eastAsia="zh-CN"/>
              </w:rPr>
              <w:t>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0" w:hRule="atLeast"/>
          <w:jc w:val="center"/>
        </w:trPr>
        <w:tc>
          <w:tcPr>
            <w:tcW w:w="511" w:type="pct"/>
            <w:vMerge w:val="continue"/>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p>
        </w:tc>
        <w:tc>
          <w:tcPr>
            <w:tcW w:w="24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32"/>
                <w:szCs w:val="32"/>
                <w:highlight w:val="none"/>
              </w:rPr>
            </w:pPr>
          </w:p>
        </w:tc>
        <w:tc>
          <w:tcPr>
            <w:tcW w:w="875" w:type="pct"/>
            <w:vAlign w:val="center"/>
          </w:tcPr>
          <w:p>
            <w:pPr>
              <w:keepNext w:val="0"/>
              <w:keepLines w:val="0"/>
              <w:pageBreakBefore w:val="0"/>
              <w:widowControl w:val="0"/>
              <w:kinsoku/>
              <w:overflowPunct/>
              <w:topLinePunct w:val="0"/>
              <w:autoSpaceDE w:val="0"/>
              <w:autoSpaceDN w:val="0"/>
              <w:bidi w:val="0"/>
              <w:adjustRightInd w:val="0"/>
              <w:spacing w:line="240" w:lineRule="auto"/>
              <w:jc w:val="both"/>
              <w:textAlignment w:val="auto"/>
              <w:rPr>
                <w:rFonts w:hint="default"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施工</w:t>
            </w:r>
            <w:bookmarkStart w:id="0" w:name="_GoBack"/>
            <w:bookmarkEnd w:id="0"/>
            <w:r>
              <w:rPr>
                <w:rFonts w:hint="eastAsia" w:ascii="仿宋_GB2312" w:hAnsi="仿宋_GB2312" w:eastAsia="仿宋_GB2312" w:cs="仿宋_GB2312"/>
                <w:b w:val="0"/>
                <w:bCs/>
                <w:color w:val="auto"/>
                <w:kern w:val="0"/>
                <w:sz w:val="32"/>
                <w:szCs w:val="32"/>
                <w:highlight w:val="none"/>
                <w:lang w:val="en-US" w:eastAsia="zh-CN"/>
              </w:rPr>
              <w:t>资质证明</w:t>
            </w:r>
          </w:p>
        </w:tc>
        <w:tc>
          <w:tcPr>
            <w:tcW w:w="3363" w:type="pct"/>
            <w:gridSpan w:val="2"/>
            <w:vAlign w:val="center"/>
          </w:tcPr>
          <w:p>
            <w:pPr>
              <w:keepNext w:val="0"/>
              <w:keepLines w:val="0"/>
              <w:pageBreakBefore w:val="0"/>
              <w:widowControl w:val="0"/>
              <w:kinsoku/>
              <w:overflowPunct/>
              <w:topLinePunct w:val="0"/>
              <w:autoSpaceDE w:val="0"/>
              <w:autoSpaceDN w:val="0"/>
              <w:bidi w:val="0"/>
              <w:adjustRightInd w:val="0"/>
              <w:spacing w:line="240" w:lineRule="auto"/>
              <w:jc w:val="left"/>
              <w:textAlignment w:val="auto"/>
              <w:rPr>
                <w:rFonts w:hint="default"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 w:val="0"/>
                <w:bCs/>
                <w:color w:val="auto"/>
                <w:sz w:val="32"/>
                <w:szCs w:val="32"/>
                <w:highlight w:val="none"/>
                <w:u w:val="none"/>
                <w:lang w:val="en-US" w:eastAsia="zh-CN"/>
              </w:rPr>
              <w:t>投标人须提供建筑装修装饰或建筑工程施工承包资质证书、安全生产许可证等资质证明。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511" w:type="pct"/>
            <w:vMerge w:val="restar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kern w:val="0"/>
                <w:sz w:val="32"/>
                <w:szCs w:val="32"/>
                <w:highlight w:val="none"/>
              </w:rPr>
              <w:t>2.1.2</w:t>
            </w:r>
          </w:p>
        </w:tc>
        <w:tc>
          <w:tcPr>
            <w:tcW w:w="249" w:type="pct"/>
            <w:vMerge w:val="restar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kern w:val="0"/>
                <w:sz w:val="32"/>
                <w:szCs w:val="32"/>
                <w:highlight w:val="none"/>
              </w:rPr>
              <w:t>形式评审标准</w:t>
            </w:r>
          </w:p>
        </w:tc>
        <w:tc>
          <w:tcPr>
            <w:tcW w:w="875"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投标人名称</w:t>
            </w:r>
          </w:p>
        </w:tc>
        <w:tc>
          <w:tcPr>
            <w:tcW w:w="3363" w:type="pct"/>
            <w:gridSpan w:val="2"/>
            <w:vAlign w:val="center"/>
          </w:tcPr>
          <w:p>
            <w:pPr>
              <w:keepNext w:val="0"/>
              <w:keepLines w:val="0"/>
              <w:pageBreakBefore w:val="0"/>
              <w:widowControl w:val="0"/>
              <w:kinsoku/>
              <w:overflowPunct/>
              <w:topLinePunct w:val="0"/>
              <w:bidi w:val="0"/>
              <w:spacing w:line="240" w:lineRule="auto"/>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与营业执照一致，依法变更名称的应提交相应证明材料。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511" w:type="pct"/>
            <w:vMerge w:val="continue"/>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p>
        </w:tc>
        <w:tc>
          <w:tcPr>
            <w:tcW w:w="249" w:type="pct"/>
            <w:vMerge w:val="continue"/>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p>
        </w:tc>
        <w:tc>
          <w:tcPr>
            <w:tcW w:w="875"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rPr>
              <w:t>投标</w:t>
            </w:r>
            <w:r>
              <w:rPr>
                <w:rFonts w:hint="eastAsia" w:ascii="仿宋_GB2312" w:hAnsi="仿宋_GB2312" w:eastAsia="仿宋_GB2312" w:cs="仿宋_GB2312"/>
                <w:b w:val="0"/>
                <w:bCs/>
                <w:color w:val="auto"/>
                <w:kern w:val="0"/>
                <w:sz w:val="32"/>
                <w:szCs w:val="32"/>
                <w:highlight w:val="none"/>
                <w:lang w:eastAsia="zh-CN"/>
              </w:rPr>
              <w:t>报价表</w:t>
            </w:r>
          </w:p>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签字盖章</w:t>
            </w:r>
          </w:p>
        </w:tc>
        <w:tc>
          <w:tcPr>
            <w:tcW w:w="3363" w:type="pct"/>
            <w:gridSpan w:val="2"/>
            <w:vAlign w:val="center"/>
          </w:tcPr>
          <w:p>
            <w:pPr>
              <w:keepNext w:val="0"/>
              <w:keepLines w:val="0"/>
              <w:pageBreakBefore w:val="0"/>
              <w:widowControl w:val="0"/>
              <w:kinsoku/>
              <w:overflowPunct/>
              <w:topLinePunct w:val="0"/>
              <w:bidi w:val="0"/>
              <w:spacing w:line="240" w:lineRule="auto"/>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投标</w:t>
            </w:r>
            <w:r>
              <w:rPr>
                <w:rFonts w:hint="eastAsia" w:ascii="仿宋_GB2312" w:hAnsi="仿宋_GB2312" w:eastAsia="仿宋_GB2312" w:cs="仿宋_GB2312"/>
                <w:b w:val="0"/>
                <w:bCs/>
                <w:color w:val="auto"/>
                <w:kern w:val="0"/>
                <w:sz w:val="32"/>
                <w:szCs w:val="32"/>
                <w:highlight w:val="none"/>
                <w:lang w:eastAsia="zh-CN"/>
              </w:rPr>
              <w:t>报价表须</w:t>
            </w:r>
            <w:r>
              <w:rPr>
                <w:rFonts w:hint="eastAsia" w:ascii="仿宋_GB2312" w:hAnsi="仿宋_GB2312" w:eastAsia="仿宋_GB2312" w:cs="仿宋_GB2312"/>
                <w:b w:val="0"/>
                <w:bCs/>
                <w:color w:val="auto"/>
                <w:kern w:val="0"/>
                <w:sz w:val="32"/>
                <w:szCs w:val="32"/>
                <w:highlight w:val="none"/>
              </w:rPr>
              <w:t>法定代表人或其委托代理人签字（或盖章）、加盖单位法人章。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11" w:type="pct"/>
            <w:vMerge w:val="continue"/>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p>
        </w:tc>
        <w:tc>
          <w:tcPr>
            <w:tcW w:w="249" w:type="pct"/>
            <w:vMerge w:val="continue"/>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p>
        </w:tc>
        <w:tc>
          <w:tcPr>
            <w:tcW w:w="875"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报价唯一</w:t>
            </w:r>
          </w:p>
        </w:tc>
        <w:tc>
          <w:tcPr>
            <w:tcW w:w="3363" w:type="pct"/>
            <w:gridSpan w:val="2"/>
            <w:vAlign w:val="center"/>
          </w:tcPr>
          <w:p>
            <w:pPr>
              <w:keepNext w:val="0"/>
              <w:keepLines w:val="0"/>
              <w:pageBreakBefore w:val="0"/>
              <w:widowControl w:val="0"/>
              <w:kinsoku/>
              <w:overflowPunct/>
              <w:topLinePunct w:val="0"/>
              <w:bidi w:val="0"/>
              <w:spacing w:line="240" w:lineRule="auto"/>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511" w:type="pct"/>
            <w:vMerge w:val="continue"/>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p>
        </w:tc>
        <w:tc>
          <w:tcPr>
            <w:tcW w:w="249" w:type="pct"/>
            <w:vMerge w:val="continue"/>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p>
        </w:tc>
        <w:tc>
          <w:tcPr>
            <w:tcW w:w="875"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委托代理人</w:t>
            </w:r>
          </w:p>
        </w:tc>
        <w:tc>
          <w:tcPr>
            <w:tcW w:w="3363" w:type="pct"/>
            <w:gridSpan w:val="2"/>
            <w:vAlign w:val="center"/>
          </w:tcPr>
          <w:p>
            <w:pPr>
              <w:keepNext w:val="0"/>
              <w:keepLines w:val="0"/>
              <w:pageBreakBefore w:val="0"/>
              <w:widowControl w:val="0"/>
              <w:kinsoku/>
              <w:overflowPunct/>
              <w:topLinePunct w:val="0"/>
              <w:bidi w:val="0"/>
              <w:spacing w:line="240" w:lineRule="auto"/>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投标人法定代表人的委托代理人有法定代表人签署的授权委托书。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3" w:hRule="atLeast"/>
          <w:jc w:val="center"/>
        </w:trPr>
        <w:tc>
          <w:tcPr>
            <w:tcW w:w="511"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kern w:val="0"/>
                <w:sz w:val="32"/>
                <w:szCs w:val="32"/>
                <w:highlight w:val="none"/>
              </w:rPr>
              <w:t>2.1.3</w:t>
            </w:r>
          </w:p>
        </w:tc>
        <w:tc>
          <w:tcPr>
            <w:tcW w:w="24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kern w:val="0"/>
                <w:sz w:val="32"/>
                <w:szCs w:val="32"/>
                <w:highlight w:val="none"/>
              </w:rPr>
              <w:t>响应性评审标准</w:t>
            </w:r>
          </w:p>
        </w:tc>
        <w:tc>
          <w:tcPr>
            <w:tcW w:w="875"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投标总报价</w:t>
            </w:r>
          </w:p>
        </w:tc>
        <w:tc>
          <w:tcPr>
            <w:tcW w:w="3363" w:type="pct"/>
            <w:gridSpan w:val="2"/>
            <w:vAlign w:val="center"/>
          </w:tcPr>
          <w:p>
            <w:pPr>
              <w:keepNext w:val="0"/>
              <w:keepLines w:val="0"/>
              <w:pageBreakBefore w:val="0"/>
              <w:widowControl w:val="0"/>
              <w:kinsoku/>
              <w:overflowPunct/>
              <w:topLinePunct w:val="0"/>
              <w:bidi w:val="0"/>
              <w:spacing w:line="240" w:lineRule="auto"/>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投标总报价不得高于招标人公布的投标总报价最高限价。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pct"/>
            <w:gridSpan w:val="2"/>
            <w:vAlign w:val="center"/>
          </w:tcPr>
          <w:p>
            <w:pPr>
              <w:keepNext w:val="0"/>
              <w:keepLines w:val="0"/>
              <w:pageBreakBefore w:val="0"/>
              <w:widowControl w:val="0"/>
              <w:kinsoku/>
              <w:overflowPunct/>
              <w:topLinePunct w:val="0"/>
              <w:bidi w:val="0"/>
              <w:spacing w:line="240" w:lineRule="auto"/>
              <w:ind w:firstLine="320" w:firstLineChars="100"/>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2.2.1</w:t>
            </w:r>
          </w:p>
        </w:tc>
        <w:tc>
          <w:tcPr>
            <w:tcW w:w="875" w:type="pct"/>
            <w:vAlign w:val="center"/>
          </w:tcPr>
          <w:p>
            <w:pPr>
              <w:keepNext w:val="0"/>
              <w:keepLines w:val="0"/>
              <w:pageBreakBefore w:val="0"/>
              <w:widowControl w:val="0"/>
              <w:tabs>
                <w:tab w:val="left" w:pos="1875"/>
              </w:tabs>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分值构成</w:t>
            </w:r>
          </w:p>
          <w:p>
            <w:pPr>
              <w:keepNext w:val="0"/>
              <w:keepLines w:val="0"/>
              <w:pageBreakBefore w:val="0"/>
              <w:widowControl w:val="0"/>
              <w:tabs>
                <w:tab w:val="left" w:pos="1875"/>
              </w:tabs>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（总分100分）</w:t>
            </w:r>
          </w:p>
        </w:tc>
        <w:tc>
          <w:tcPr>
            <w:tcW w:w="3363" w:type="pct"/>
            <w:gridSpan w:val="2"/>
            <w:vAlign w:val="center"/>
          </w:tcPr>
          <w:p>
            <w:pPr>
              <w:keepNext w:val="0"/>
              <w:keepLines w:val="0"/>
              <w:pageBreakBefore w:val="0"/>
              <w:widowControl w:val="0"/>
              <w:kinsoku/>
              <w:wordWrap w:val="0"/>
              <w:overflowPunct/>
              <w:topLinePunct w:val="0"/>
              <w:bidi w:val="0"/>
              <w:snapToGrid w:val="0"/>
              <w:spacing w:line="240" w:lineRule="auto"/>
              <w:ind w:left="420"/>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1.商务部分：</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10</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分；</w:t>
            </w:r>
          </w:p>
          <w:p>
            <w:pPr>
              <w:keepNext w:val="0"/>
              <w:keepLines w:val="0"/>
              <w:pageBreakBefore w:val="0"/>
              <w:widowControl w:val="0"/>
              <w:kinsoku/>
              <w:wordWrap w:val="0"/>
              <w:overflowPunct/>
              <w:topLinePunct w:val="0"/>
              <w:bidi w:val="0"/>
              <w:snapToGrid w:val="0"/>
              <w:spacing w:line="240" w:lineRule="auto"/>
              <w:ind w:left="42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2.技术部分：</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30</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分；</w:t>
            </w:r>
          </w:p>
          <w:p>
            <w:pPr>
              <w:keepNext w:val="0"/>
              <w:keepLines w:val="0"/>
              <w:pageBreakBefore w:val="0"/>
              <w:widowControl w:val="0"/>
              <w:kinsoku/>
              <w:overflowPunct/>
              <w:topLinePunct w:val="0"/>
              <w:bidi w:val="0"/>
              <w:snapToGrid w:val="0"/>
              <w:spacing w:line="240" w:lineRule="auto"/>
              <w:ind w:left="420"/>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.投标总报价：</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60</w:t>
            </w:r>
            <w:r>
              <w:rPr>
                <w:rFonts w:hint="eastAsia" w:ascii="仿宋_GB2312" w:hAnsi="仿宋_GB2312" w:eastAsia="仿宋_GB2312" w:cs="仿宋_GB2312"/>
                <w:b w:val="0"/>
                <w:bCs/>
                <w:color w:val="auto"/>
                <w:sz w:val="32"/>
                <w:szCs w:val="3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pct"/>
            <w:gridSpan w:val="2"/>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rPr>
              <w:t>2.2.2</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lang w:val="en-US" w:eastAsia="zh-CN"/>
              </w:rPr>
              <w:t>1</w:t>
            </w:r>
            <w:r>
              <w:rPr>
                <w:rFonts w:hint="eastAsia" w:ascii="仿宋_GB2312" w:hAnsi="仿宋_GB2312" w:eastAsia="仿宋_GB2312" w:cs="仿宋_GB2312"/>
                <w:b w:val="0"/>
                <w:bCs/>
                <w:color w:val="auto"/>
                <w:kern w:val="0"/>
                <w:sz w:val="32"/>
                <w:szCs w:val="32"/>
                <w:highlight w:val="none"/>
                <w:lang w:eastAsia="zh-CN"/>
              </w:rPr>
              <w:t>）</w:t>
            </w:r>
          </w:p>
        </w:tc>
        <w:tc>
          <w:tcPr>
            <w:tcW w:w="875"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商务</w:t>
            </w:r>
            <w:r>
              <w:rPr>
                <w:rFonts w:hint="eastAsia" w:ascii="仿宋_GB2312" w:hAnsi="仿宋_GB2312" w:eastAsia="仿宋_GB2312" w:cs="仿宋_GB2312"/>
                <w:b w:val="0"/>
                <w:bCs/>
                <w:color w:val="auto"/>
                <w:kern w:val="0"/>
                <w:sz w:val="32"/>
                <w:szCs w:val="32"/>
                <w:highlight w:val="none"/>
              </w:rPr>
              <w:t>部分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评分标准</w:t>
            </w:r>
          </w:p>
        </w:tc>
        <w:tc>
          <w:tcPr>
            <w:tcW w:w="3363" w:type="pct"/>
            <w:gridSpan w:val="2"/>
            <w:vAlign w:val="center"/>
          </w:tcPr>
          <w:p>
            <w:pPr>
              <w:keepNext w:val="0"/>
              <w:keepLines w:val="0"/>
              <w:pageBreakBefore w:val="0"/>
              <w:widowControl w:val="0"/>
              <w:kinsoku/>
              <w:overflowPunct/>
              <w:topLinePunct w:val="0"/>
              <w:bidi w:val="0"/>
              <w:snapToGrid w:val="0"/>
              <w:spacing w:line="240" w:lineRule="auto"/>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sz w:val="32"/>
                <w:szCs w:val="32"/>
                <w:highlight w:val="none"/>
              </w:rPr>
              <w:t>商务</w:t>
            </w:r>
            <w:r>
              <w:rPr>
                <w:rFonts w:hint="eastAsia" w:ascii="仿宋_GB2312" w:hAnsi="仿宋_GB2312" w:eastAsia="仿宋_GB2312" w:cs="仿宋_GB2312"/>
                <w:b w:val="0"/>
                <w:bCs/>
                <w:color w:val="auto"/>
                <w:kern w:val="0"/>
                <w:sz w:val="32"/>
                <w:szCs w:val="32"/>
                <w:highlight w:val="none"/>
              </w:rPr>
              <w:t>（</w:t>
            </w:r>
            <w:r>
              <w:rPr>
                <w:rFonts w:hint="eastAsia" w:ascii="仿宋_GB2312" w:hAnsi="仿宋_GB2312" w:eastAsia="仿宋_GB2312" w:cs="仿宋_GB2312"/>
                <w:b w:val="0"/>
                <w:bCs/>
                <w:color w:val="auto"/>
                <w:kern w:val="0"/>
                <w:sz w:val="32"/>
                <w:szCs w:val="32"/>
                <w:highlight w:val="none"/>
                <w:lang w:val="en-US" w:eastAsia="zh-CN"/>
              </w:rPr>
              <w:t>10</w:t>
            </w:r>
            <w:r>
              <w:rPr>
                <w:rFonts w:hint="eastAsia" w:ascii="仿宋_GB2312" w:hAnsi="仿宋_GB2312" w:eastAsia="仿宋_GB2312" w:cs="仿宋_GB2312"/>
                <w:b w:val="0"/>
                <w:bCs/>
                <w:color w:val="auto"/>
                <w:kern w:val="0"/>
                <w:sz w:val="32"/>
                <w:szCs w:val="32"/>
                <w:highlight w:val="none"/>
              </w:rPr>
              <w:t>分）</w:t>
            </w:r>
          </w:p>
          <w:p>
            <w:pPr>
              <w:keepNext w:val="0"/>
              <w:keepLines w:val="0"/>
              <w:pageBreakBefore w:val="0"/>
              <w:widowControl w:val="0"/>
              <w:kinsoku/>
              <w:overflowPunct/>
              <w:topLinePunct w:val="0"/>
              <w:bidi w:val="0"/>
              <w:snapToGrid w:val="0"/>
              <w:spacing w:line="240" w:lineRule="auto"/>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1、在满足资格评审要求的基础上，投标人提供丙烯酸材料满足GB36246-2018标准中环保化学性能检测合格报告得1分。</w:t>
            </w:r>
          </w:p>
          <w:p>
            <w:pPr>
              <w:keepNext w:val="0"/>
              <w:keepLines w:val="0"/>
              <w:pageBreakBefore w:val="0"/>
              <w:widowControl w:val="0"/>
              <w:kinsoku/>
              <w:overflowPunct/>
              <w:topLinePunct w:val="0"/>
              <w:bidi w:val="0"/>
              <w:snapToGrid w:val="0"/>
              <w:spacing w:line="240" w:lineRule="auto"/>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2、在满足资格评审要求的基础上，供应商提供丙烯酸材料获得欧盟CE认证证书得1分。</w:t>
            </w:r>
          </w:p>
          <w:p>
            <w:pPr>
              <w:pStyle w:val="2"/>
              <w:keepNext w:val="0"/>
              <w:keepLines w:val="0"/>
              <w:pageBreakBefore w:val="0"/>
              <w:widowControl w:val="0"/>
              <w:kinsoku/>
              <w:overflowPunct/>
              <w:topLinePunct w:val="0"/>
              <w:bidi w:val="0"/>
              <w:spacing w:line="240" w:lineRule="auto"/>
              <w:jc w:val="left"/>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highlight w:val="none"/>
                <w:lang w:val="en-US" w:eastAsia="zh-CN"/>
              </w:rPr>
              <w:t>在满</w:t>
            </w:r>
            <w:r>
              <w:rPr>
                <w:rFonts w:hint="eastAsia" w:ascii="仿宋_GB2312" w:hAnsi="仿宋_GB2312" w:eastAsia="仿宋_GB2312" w:cs="仿宋_GB2312"/>
                <w:b w:val="0"/>
                <w:bCs/>
                <w:kern w:val="2"/>
                <w:sz w:val="32"/>
                <w:szCs w:val="32"/>
                <w:highlight w:val="none"/>
                <w:lang w:val="en-US" w:eastAsia="zh-CN" w:bidi="ar-SA"/>
              </w:rPr>
              <w:t>足资格评审要求的基础上，供应商提供丙烯酸材料获得欧盟ROHS认证证书得1分。</w:t>
            </w:r>
          </w:p>
          <w:p>
            <w:pPr>
              <w:keepNext w:val="0"/>
              <w:keepLines w:val="0"/>
              <w:pageBreakBefore w:val="0"/>
              <w:widowControl w:val="0"/>
              <w:kinsoku/>
              <w:overflowPunct/>
              <w:topLinePunct w:val="0"/>
              <w:bidi w:val="0"/>
              <w:spacing w:line="240" w:lineRule="auto"/>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kern w:val="2"/>
                <w:sz w:val="32"/>
                <w:szCs w:val="32"/>
                <w:highlight w:val="none"/>
                <w:lang w:val="en-US" w:eastAsia="zh-CN" w:bidi="ar-SA"/>
              </w:rPr>
              <w:t>4、在满足资格评审要求的基础上，供应商</w:t>
            </w:r>
            <w:r>
              <w:rPr>
                <w:rFonts w:hint="eastAsia" w:ascii="仿宋_GB2312" w:hAnsi="仿宋_GB2312" w:eastAsia="仿宋_GB2312" w:cs="仿宋_GB2312"/>
                <w:b w:val="0"/>
                <w:bCs/>
                <w:sz w:val="32"/>
                <w:szCs w:val="32"/>
                <w:highlight w:val="none"/>
                <w:lang w:val="en-US" w:eastAsia="zh-CN"/>
              </w:rPr>
              <w:t>提供丙烯酸材料物理检测报告并合格的得2分（物理性能检测参数必须包含抗冲击性、耐磨性、拉伸粘接强度、尺寸变化率、24H抗折强度和24H抗压强度）。</w:t>
            </w:r>
          </w:p>
          <w:p>
            <w:pPr>
              <w:keepNext w:val="0"/>
              <w:keepLines w:val="0"/>
              <w:pageBreakBefore w:val="0"/>
              <w:widowControl w:val="0"/>
              <w:kinsoku/>
              <w:overflowPunct/>
              <w:topLinePunct w:val="0"/>
              <w:bidi w:val="0"/>
              <w:spacing w:line="240" w:lineRule="auto"/>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highlight w:val="none"/>
                <w:lang w:val="en-US" w:eastAsia="zh-CN"/>
              </w:rPr>
              <w:t>在满足资格评审要求的基础上，供应商提供丙烯酸材料厂家获得中国绿色环保产品证书得2分。</w:t>
            </w:r>
          </w:p>
          <w:p>
            <w:pPr>
              <w:keepNext w:val="0"/>
              <w:keepLines w:val="0"/>
              <w:pageBreakBefore w:val="0"/>
              <w:widowControl w:val="0"/>
              <w:kinsoku/>
              <w:overflowPunct/>
              <w:topLinePunct w:val="0"/>
              <w:bidi w:val="0"/>
              <w:spacing w:line="240" w:lineRule="auto"/>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6、在满足资格评审要求的基础上，供应商提供围网材料耐老化检测报告得1分。</w:t>
            </w:r>
          </w:p>
          <w:p>
            <w:pPr>
              <w:keepNext w:val="0"/>
              <w:keepLines w:val="0"/>
              <w:pageBreakBefore w:val="0"/>
              <w:widowControl w:val="0"/>
              <w:kinsoku/>
              <w:overflowPunct/>
              <w:topLinePunct w:val="0"/>
              <w:bidi w:val="0"/>
              <w:spacing w:line="240" w:lineRule="auto"/>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7、在满足资格评审要求的基础上，供应商基础采用沥青基础得2分，采用商品混凝土基础得1分，其他基础得0.5分。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jc w:val="center"/>
        </w:trPr>
        <w:tc>
          <w:tcPr>
            <w:tcW w:w="761" w:type="pct"/>
            <w:gridSpan w:val="2"/>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rPr>
              <w:t>2.2.2</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lang w:val="en-US" w:eastAsia="zh-CN"/>
              </w:rPr>
              <w:t>2</w:t>
            </w:r>
            <w:r>
              <w:rPr>
                <w:rFonts w:hint="eastAsia" w:ascii="仿宋_GB2312" w:hAnsi="仿宋_GB2312" w:eastAsia="仿宋_GB2312" w:cs="仿宋_GB2312"/>
                <w:b w:val="0"/>
                <w:bCs/>
                <w:color w:val="auto"/>
                <w:kern w:val="0"/>
                <w:sz w:val="32"/>
                <w:szCs w:val="32"/>
                <w:highlight w:val="none"/>
                <w:lang w:eastAsia="zh-CN"/>
              </w:rPr>
              <w:t>）</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技术</w:t>
            </w:r>
            <w:r>
              <w:rPr>
                <w:rFonts w:hint="eastAsia" w:ascii="仿宋_GB2312" w:hAnsi="仿宋_GB2312" w:eastAsia="仿宋_GB2312" w:cs="仿宋_GB2312"/>
                <w:b w:val="0"/>
                <w:bCs/>
                <w:color w:val="auto"/>
                <w:kern w:val="0"/>
                <w:sz w:val="32"/>
                <w:szCs w:val="32"/>
                <w:highlight w:val="none"/>
              </w:rPr>
              <w:t>部分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rPr>
              <w:t>评分标准</w:t>
            </w:r>
          </w:p>
        </w:tc>
        <w:tc>
          <w:tcPr>
            <w:tcW w:w="3363" w:type="pct"/>
            <w:gridSpan w:val="2"/>
            <w:vAlign w:val="center"/>
          </w:tcPr>
          <w:p>
            <w:pPr>
              <w:keepNext w:val="0"/>
              <w:keepLines w:val="0"/>
              <w:pageBreakBefore w:val="0"/>
              <w:widowControl w:val="0"/>
              <w:kinsoku/>
              <w:overflowPunct/>
              <w:topLinePunct w:val="0"/>
              <w:bidi w:val="0"/>
              <w:snapToGrid w:val="0"/>
              <w:spacing w:line="240" w:lineRule="auto"/>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施工组织方案（</w:t>
            </w:r>
            <w:r>
              <w:rPr>
                <w:rFonts w:hint="eastAsia" w:ascii="仿宋_GB2312" w:hAnsi="仿宋_GB2312" w:eastAsia="仿宋_GB2312" w:cs="仿宋_GB2312"/>
                <w:b w:val="0"/>
                <w:bCs/>
                <w:color w:val="auto"/>
                <w:kern w:val="0"/>
                <w:sz w:val="32"/>
                <w:szCs w:val="32"/>
                <w:highlight w:val="none"/>
                <w:lang w:val="en-US" w:eastAsia="zh-CN"/>
              </w:rPr>
              <w:t>30</w:t>
            </w:r>
            <w:r>
              <w:rPr>
                <w:rFonts w:hint="eastAsia" w:ascii="仿宋_GB2312" w:hAnsi="仿宋_GB2312" w:eastAsia="仿宋_GB2312" w:cs="仿宋_GB2312"/>
                <w:b w:val="0"/>
                <w:bCs/>
                <w:color w:val="auto"/>
                <w:kern w:val="0"/>
                <w:sz w:val="32"/>
                <w:szCs w:val="32"/>
                <w:highlight w:val="none"/>
              </w:rPr>
              <w:t>分）</w:t>
            </w:r>
          </w:p>
          <w:p>
            <w:pPr>
              <w:keepNext w:val="0"/>
              <w:keepLines w:val="0"/>
              <w:pageBreakBefore w:val="0"/>
              <w:widowControl w:val="0"/>
              <w:kinsoku/>
              <w:overflowPunct/>
              <w:topLinePunct w:val="0"/>
              <w:bidi w:val="0"/>
              <w:snapToGrid w:val="0"/>
              <w:spacing w:line="240" w:lineRule="auto"/>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评标委员会对投标人提供的项目施工组织方案按以下内容进行评分：</w:t>
            </w:r>
          </w:p>
          <w:p>
            <w:pPr>
              <w:keepNext w:val="0"/>
              <w:keepLines w:val="0"/>
              <w:pageBreakBefore w:val="0"/>
              <w:widowControl w:val="0"/>
              <w:kinsoku/>
              <w:overflowPunct/>
              <w:topLinePunct w:val="0"/>
              <w:bidi w:val="0"/>
              <w:snapToGrid w:val="0"/>
              <w:spacing w:line="240" w:lineRule="auto"/>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（1）施工方案与技术措施（10分）</w:t>
            </w:r>
          </w:p>
          <w:p>
            <w:pPr>
              <w:keepNext w:val="0"/>
              <w:keepLines w:val="0"/>
              <w:pageBreakBefore w:val="0"/>
              <w:widowControl w:val="0"/>
              <w:kinsoku/>
              <w:overflowPunct/>
              <w:topLinePunct w:val="0"/>
              <w:bidi w:val="0"/>
              <w:snapToGrid w:val="0"/>
              <w:spacing w:line="240" w:lineRule="auto"/>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编制要点：施工方案与技术措施内容完整，至少包括施工组织机构、施工工艺、进度计划质量保证措施，安全及环境保护措施等内容。根据内容描述清晰程度、科学合理性、切实可行性等在0～10分进行独立评分。</w:t>
            </w:r>
          </w:p>
          <w:p>
            <w:pPr>
              <w:keepNext w:val="0"/>
              <w:keepLines w:val="0"/>
              <w:pageBreakBefore w:val="0"/>
              <w:widowControl w:val="0"/>
              <w:kinsoku/>
              <w:overflowPunct/>
              <w:topLinePunct w:val="0"/>
              <w:bidi w:val="0"/>
              <w:snapToGrid w:val="0"/>
              <w:spacing w:line="240" w:lineRule="auto"/>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（2）质量管理与措施（8分）</w:t>
            </w:r>
          </w:p>
          <w:p>
            <w:pPr>
              <w:keepNext w:val="0"/>
              <w:keepLines w:val="0"/>
              <w:pageBreakBefore w:val="0"/>
              <w:widowControl w:val="0"/>
              <w:kinsoku/>
              <w:overflowPunct/>
              <w:topLinePunct w:val="0"/>
              <w:bidi w:val="0"/>
              <w:snapToGrid w:val="0"/>
              <w:spacing w:line="240" w:lineRule="auto"/>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编制要点：质量管理措施完善，采取有效的保障措施和控制手段、职责明确、整体可行并具备较强针对性。根据内容描述清晰程度、科学合理性、切实可行性等在0～8分进行独立评分。</w:t>
            </w:r>
          </w:p>
          <w:p>
            <w:pPr>
              <w:keepNext w:val="0"/>
              <w:keepLines w:val="0"/>
              <w:pageBreakBefore w:val="0"/>
              <w:widowControl w:val="0"/>
              <w:kinsoku/>
              <w:overflowPunct/>
              <w:topLinePunct w:val="0"/>
              <w:bidi w:val="0"/>
              <w:snapToGrid w:val="0"/>
              <w:spacing w:line="240" w:lineRule="auto"/>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（3）安全管理、环境保护管理与措施（6分）</w:t>
            </w:r>
          </w:p>
          <w:p>
            <w:pPr>
              <w:keepNext w:val="0"/>
              <w:keepLines w:val="0"/>
              <w:pageBreakBefore w:val="0"/>
              <w:widowControl w:val="0"/>
              <w:kinsoku/>
              <w:overflowPunct/>
              <w:topLinePunct w:val="0"/>
              <w:bidi w:val="0"/>
              <w:snapToGrid w:val="0"/>
              <w:spacing w:line="240" w:lineRule="auto"/>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编制要点：制定相应的规章制度和针对性的安全管理和环境保护措施，安全生产责任制对工程的安全、文明施工和防止扰民措施，环境保护对施工环保措施计划等。根据内容描述清晰程度、科学合理性、切实可行性等在0～6分进行独立评分，未提供的不得分。</w:t>
            </w:r>
          </w:p>
          <w:p>
            <w:pPr>
              <w:keepNext w:val="0"/>
              <w:keepLines w:val="0"/>
              <w:pageBreakBefore w:val="0"/>
              <w:widowControl w:val="0"/>
              <w:kinsoku/>
              <w:overflowPunct/>
              <w:topLinePunct w:val="0"/>
              <w:bidi w:val="0"/>
              <w:snapToGrid w:val="0"/>
              <w:spacing w:line="240" w:lineRule="auto"/>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（4）工程进度计划与资源配备（6分）</w:t>
            </w:r>
          </w:p>
          <w:p>
            <w:pPr>
              <w:keepNext w:val="0"/>
              <w:keepLines w:val="0"/>
              <w:pageBreakBefore w:val="0"/>
              <w:widowControl w:val="0"/>
              <w:kinsoku/>
              <w:overflowPunct/>
              <w:topLinePunct w:val="0"/>
              <w:bidi w:val="0"/>
              <w:snapToGrid w:val="0"/>
              <w:spacing w:line="240" w:lineRule="auto"/>
              <w:ind w:firstLine="640" w:firstLineChars="200"/>
              <w:jc w:val="left"/>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b w:val="0"/>
                <w:bCs/>
                <w:color w:val="auto"/>
                <w:sz w:val="32"/>
                <w:szCs w:val="32"/>
                <w:highlight w:val="none"/>
                <w:lang w:val="en-US" w:eastAsia="zh-CN"/>
              </w:rPr>
              <w:t>编制要点：工程进度计划与机械设备、劳动力投入等资源配备安排合理，关键节点清晰明确，满足项目工期的要求，保障措施具体可行。根据内容描述清晰程度、科学合理性、切实可行性等在0～6分进行独立评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1"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2.2.3</w:t>
            </w:r>
          </w:p>
        </w:tc>
        <w:tc>
          <w:tcPr>
            <w:tcW w:w="249"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评标基准价计算方法</w:t>
            </w:r>
          </w:p>
        </w:tc>
        <w:tc>
          <w:tcPr>
            <w:tcW w:w="875"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投标总报价</w:t>
            </w:r>
          </w:p>
        </w:tc>
        <w:tc>
          <w:tcPr>
            <w:tcW w:w="3363" w:type="pct"/>
            <w:gridSpan w:val="2"/>
            <w:vAlign w:val="center"/>
          </w:tcPr>
          <w:p>
            <w:pPr>
              <w:keepNext w:val="0"/>
              <w:keepLines w:val="0"/>
              <w:pageBreakBefore w:val="0"/>
              <w:widowControl w:val="0"/>
              <w:kinsoku/>
              <w:overflowPunct/>
              <w:topLinePunct w:val="0"/>
              <w:bidi w:val="0"/>
              <w:snapToGrid w:val="0"/>
              <w:spacing w:line="240" w:lineRule="auto"/>
              <w:ind w:firstLine="640" w:firstLineChars="200"/>
              <w:jc w:val="left"/>
              <w:textAlignment w:val="auto"/>
              <w:rPr>
                <w:rFonts w:hint="eastAsia" w:ascii="仿宋_GB2312" w:hAnsi="仿宋_GB2312" w:eastAsia="仿宋_GB2312" w:cs="仿宋_GB2312"/>
                <w:b w:val="0"/>
                <w:bCs/>
                <w:color w:val="FF0000"/>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rPr>
              <w:t>所有通过初步评审合格的的投标人的投标总报价中去掉六分之一（不能整除的按小数点前整数取整，不足六家报价则不去掉）的最低价和相同家数的最高价后的算术平均值，即为本项目的投标总报价的评标基准价。</w:t>
            </w:r>
          </w:p>
          <w:p>
            <w:pPr>
              <w:keepNext w:val="0"/>
              <w:keepLines w:val="0"/>
              <w:pageBreakBefore w:val="0"/>
              <w:widowControl w:val="0"/>
              <w:kinsoku/>
              <w:overflowPunct/>
              <w:topLinePunct w:val="0"/>
              <w:bidi w:val="0"/>
              <w:snapToGrid w:val="0"/>
              <w:spacing w:line="240" w:lineRule="auto"/>
              <w:ind w:firstLine="640" w:firstLineChars="200"/>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评标基准价计算的最终结果取小数点后两位，第三位四舍五入。</w:t>
            </w:r>
          </w:p>
          <w:p>
            <w:pPr>
              <w:keepNext w:val="0"/>
              <w:keepLines w:val="0"/>
              <w:pageBreakBefore w:val="0"/>
              <w:widowControl w:val="0"/>
              <w:kinsoku/>
              <w:overflowPunct/>
              <w:topLinePunct w:val="0"/>
              <w:bidi w:val="0"/>
              <w:snapToGrid w:val="0"/>
              <w:spacing w:line="240" w:lineRule="auto"/>
              <w:ind w:firstLine="640" w:firstLineChars="200"/>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511"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2.2.4</w:t>
            </w:r>
          </w:p>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（1）</w:t>
            </w:r>
          </w:p>
        </w:tc>
        <w:tc>
          <w:tcPr>
            <w:tcW w:w="1125" w:type="pct"/>
            <w:gridSpan w:val="2"/>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偏差率计算公式</w:t>
            </w:r>
          </w:p>
        </w:tc>
        <w:tc>
          <w:tcPr>
            <w:tcW w:w="3363" w:type="pct"/>
            <w:gridSpan w:val="2"/>
            <w:vAlign w:val="center"/>
          </w:tcPr>
          <w:p>
            <w:pPr>
              <w:keepNext w:val="0"/>
              <w:keepLines w:val="0"/>
              <w:pageBreakBefore w:val="0"/>
              <w:widowControl w:val="0"/>
              <w:kinsoku/>
              <w:overflowPunct/>
              <w:topLinePunct w:val="0"/>
              <w:bidi w:val="0"/>
              <w:spacing w:line="240" w:lineRule="auto"/>
              <w:ind w:firstLine="640" w:firstLineChars="200"/>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投标总报价的偏差率计算公式</w:t>
            </w:r>
          </w:p>
          <w:p>
            <w:pPr>
              <w:keepNext w:val="0"/>
              <w:keepLines w:val="0"/>
              <w:pageBreakBefore w:val="0"/>
              <w:widowControl w:val="0"/>
              <w:kinsoku/>
              <w:overflowPunct/>
              <w:topLinePunct w:val="0"/>
              <w:bidi w:val="0"/>
              <w:spacing w:line="240" w:lineRule="auto"/>
              <w:ind w:firstLine="640" w:firstLineChars="200"/>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偏差率=100％×（投标人报价－评标基准价）／评标基准价。</w:t>
            </w:r>
          </w:p>
          <w:p>
            <w:pPr>
              <w:keepNext w:val="0"/>
              <w:keepLines w:val="0"/>
              <w:pageBreakBefore w:val="0"/>
              <w:widowControl w:val="0"/>
              <w:kinsoku/>
              <w:overflowPunct/>
              <w:topLinePunct w:val="0"/>
              <w:bidi w:val="0"/>
              <w:spacing w:line="240" w:lineRule="auto"/>
              <w:ind w:firstLine="396"/>
              <w:jc w:val="left"/>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偏差率计算取小数点后两位，小数点后第三位“四舍五入”。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11"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2.2.4</w:t>
            </w:r>
          </w:p>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（2）</w:t>
            </w:r>
          </w:p>
        </w:tc>
        <w:tc>
          <w:tcPr>
            <w:tcW w:w="1125" w:type="pct"/>
            <w:gridSpan w:val="2"/>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投标总报价的</w:t>
            </w:r>
          </w:p>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允许偏差范围</w:t>
            </w:r>
          </w:p>
        </w:tc>
        <w:tc>
          <w:tcPr>
            <w:tcW w:w="3363" w:type="pct"/>
            <w:gridSpan w:val="2"/>
            <w:vAlign w:val="center"/>
          </w:tcPr>
          <w:p>
            <w:pPr>
              <w:keepNext w:val="0"/>
              <w:keepLines w:val="0"/>
              <w:pageBreakBefore w:val="0"/>
              <w:widowControl w:val="0"/>
              <w:kinsoku/>
              <w:overflowPunct/>
              <w:topLinePunct w:val="0"/>
              <w:bidi w:val="0"/>
              <w:spacing w:line="240" w:lineRule="auto"/>
              <w:ind w:firstLine="640" w:firstLineChars="200"/>
              <w:jc w:val="left"/>
              <w:textAlignment w:val="auto"/>
              <w:rPr>
                <w:rFonts w:hint="eastAsia" w:ascii="仿宋_GB2312" w:hAnsi="仿宋_GB2312" w:eastAsia="仿宋_GB2312" w:cs="仿宋_GB2312"/>
                <w:b w:val="0"/>
                <w:bCs/>
                <w:i/>
                <w:color w:val="auto"/>
                <w:kern w:val="0"/>
                <w:sz w:val="32"/>
                <w:szCs w:val="32"/>
                <w:highlight w:val="none"/>
              </w:rPr>
            </w:pPr>
            <w:r>
              <w:rPr>
                <w:rFonts w:hint="eastAsia" w:ascii="仿宋_GB2312" w:hAnsi="仿宋_GB2312" w:eastAsia="仿宋_GB2312" w:cs="仿宋_GB2312"/>
                <w:b w:val="0"/>
                <w:bCs/>
                <w:color w:val="auto"/>
                <w:sz w:val="32"/>
                <w:szCs w:val="32"/>
                <w:highlight w:val="none"/>
              </w:rPr>
              <w:t>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atLeast"/>
          <w:jc w:val="center"/>
        </w:trPr>
        <w:tc>
          <w:tcPr>
            <w:tcW w:w="511"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sz w:val="32"/>
                <w:szCs w:val="32"/>
                <w:highlight w:val="none"/>
              </w:rPr>
              <w:t>3</w:t>
            </w:r>
          </w:p>
        </w:tc>
        <w:tc>
          <w:tcPr>
            <w:tcW w:w="1125" w:type="pct"/>
            <w:gridSpan w:val="2"/>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评标</w:t>
            </w:r>
          </w:p>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sz w:val="32"/>
                <w:szCs w:val="32"/>
                <w:highlight w:val="none"/>
              </w:rPr>
              <w:t>程序</w:t>
            </w:r>
          </w:p>
        </w:tc>
        <w:tc>
          <w:tcPr>
            <w:tcW w:w="3363" w:type="pct"/>
            <w:gridSpan w:val="2"/>
          </w:tcPr>
          <w:p>
            <w:pPr>
              <w:keepNext w:val="0"/>
              <w:keepLines w:val="0"/>
              <w:pageBreakBefore w:val="0"/>
              <w:widowControl w:val="0"/>
              <w:kinsoku/>
              <w:overflowPunct/>
              <w:topLinePunct w:val="0"/>
              <w:bidi w:val="0"/>
              <w:spacing w:line="240" w:lineRule="auto"/>
              <w:ind w:firstLine="640" w:firstLineChars="200"/>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1.按本评标办法进行初步评审。未通过初步评审或评标委员会认定为无效的投标文件的不再进行后续评审。</w:t>
            </w:r>
          </w:p>
          <w:p>
            <w:pPr>
              <w:keepNext w:val="0"/>
              <w:keepLines w:val="0"/>
              <w:pageBreakBefore w:val="0"/>
              <w:widowControl w:val="0"/>
              <w:kinsoku/>
              <w:overflowPunct/>
              <w:topLinePunct w:val="0"/>
              <w:bidi w:val="0"/>
              <w:spacing w:line="240" w:lineRule="auto"/>
              <w:ind w:firstLine="640" w:firstLineChars="200"/>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2.因评标委员会作否决投标处理导致有效投标人不足三个的，评标委员会应当否决所有投标。</w:t>
            </w:r>
          </w:p>
          <w:p>
            <w:pPr>
              <w:keepNext w:val="0"/>
              <w:keepLines w:val="0"/>
              <w:pageBreakBefore w:val="0"/>
              <w:widowControl w:val="0"/>
              <w:kinsoku/>
              <w:overflowPunct/>
              <w:topLinePunct w:val="0"/>
              <w:bidi w:val="0"/>
              <w:spacing w:line="240" w:lineRule="auto"/>
              <w:ind w:firstLine="640" w:firstLineChars="200"/>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3.按本评标办法的规定对初步评审合格的投标人的</w:t>
            </w:r>
            <w:r>
              <w:rPr>
                <w:rFonts w:hint="eastAsia" w:ascii="仿宋_GB2312" w:hAnsi="仿宋_GB2312" w:eastAsia="仿宋_GB2312" w:cs="仿宋_GB2312"/>
                <w:b w:val="0"/>
                <w:bCs/>
                <w:color w:val="auto"/>
                <w:sz w:val="32"/>
                <w:szCs w:val="32"/>
                <w:highlight w:val="none"/>
                <w:lang w:val="en-US" w:eastAsia="zh-CN"/>
              </w:rPr>
              <w:t>商务部分、技术</w:t>
            </w:r>
            <w:r>
              <w:rPr>
                <w:rFonts w:hint="eastAsia" w:ascii="仿宋_GB2312" w:hAnsi="仿宋_GB2312" w:eastAsia="仿宋_GB2312" w:cs="仿宋_GB2312"/>
                <w:b w:val="0"/>
                <w:bCs/>
                <w:color w:val="auto"/>
                <w:sz w:val="32"/>
                <w:szCs w:val="32"/>
                <w:highlight w:val="none"/>
              </w:rPr>
              <w:t>部分进行评审。</w:t>
            </w:r>
          </w:p>
          <w:p>
            <w:pPr>
              <w:keepNext w:val="0"/>
              <w:keepLines w:val="0"/>
              <w:pageBreakBefore w:val="0"/>
              <w:widowControl w:val="0"/>
              <w:kinsoku/>
              <w:overflowPunct/>
              <w:topLinePunct w:val="0"/>
              <w:bidi w:val="0"/>
              <w:spacing w:line="240" w:lineRule="auto"/>
              <w:ind w:firstLine="640" w:firstLineChars="200"/>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4.对初步评审合格的投标人按照本</w:t>
            </w:r>
            <w:r>
              <w:rPr>
                <w:rFonts w:hint="eastAsia" w:ascii="仿宋_GB2312" w:hAnsi="仿宋_GB2312" w:eastAsia="仿宋_GB2312" w:cs="仿宋_GB2312"/>
                <w:b w:val="0"/>
                <w:bCs/>
                <w:color w:val="auto"/>
                <w:sz w:val="32"/>
                <w:szCs w:val="32"/>
                <w:highlight w:val="none"/>
                <w:lang w:eastAsia="zh-CN"/>
              </w:rPr>
              <w:t>评标办法</w:t>
            </w:r>
            <w:r>
              <w:rPr>
                <w:rFonts w:hint="eastAsia" w:ascii="仿宋_GB2312" w:hAnsi="仿宋_GB2312" w:eastAsia="仿宋_GB2312" w:cs="仿宋_GB2312"/>
                <w:b w:val="0"/>
                <w:bCs/>
                <w:color w:val="auto"/>
                <w:sz w:val="32"/>
                <w:szCs w:val="32"/>
                <w:highlight w:val="none"/>
              </w:rPr>
              <w:t>计算方法计算评标基准价，并按本</w:t>
            </w:r>
            <w:r>
              <w:rPr>
                <w:rFonts w:hint="eastAsia" w:ascii="仿宋_GB2312" w:hAnsi="仿宋_GB2312" w:eastAsia="仿宋_GB2312" w:cs="仿宋_GB2312"/>
                <w:b w:val="0"/>
                <w:bCs/>
                <w:color w:val="auto"/>
                <w:sz w:val="32"/>
                <w:szCs w:val="32"/>
                <w:highlight w:val="none"/>
                <w:lang w:eastAsia="zh-CN"/>
              </w:rPr>
              <w:t>评标办法</w:t>
            </w:r>
            <w:r>
              <w:rPr>
                <w:rFonts w:hint="eastAsia" w:ascii="仿宋_GB2312" w:hAnsi="仿宋_GB2312" w:eastAsia="仿宋_GB2312" w:cs="仿宋_GB2312"/>
                <w:b w:val="0"/>
                <w:bCs/>
                <w:color w:val="auto"/>
                <w:sz w:val="32"/>
                <w:szCs w:val="32"/>
                <w:highlight w:val="none"/>
              </w:rPr>
              <w:t>规定的评分方法对投标总报价进行评分。</w:t>
            </w:r>
          </w:p>
          <w:p>
            <w:pPr>
              <w:keepNext w:val="0"/>
              <w:keepLines w:val="0"/>
              <w:pageBreakBefore w:val="0"/>
              <w:widowControl w:val="0"/>
              <w:kinsoku/>
              <w:overflowPunct/>
              <w:topLinePunct w:val="0"/>
              <w:bidi w:val="0"/>
              <w:spacing w:line="240" w:lineRule="auto"/>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5.对</w:t>
            </w:r>
            <w:r>
              <w:rPr>
                <w:rFonts w:hint="eastAsia" w:ascii="仿宋_GB2312" w:hAnsi="仿宋_GB2312" w:eastAsia="仿宋_GB2312" w:cs="仿宋_GB2312"/>
                <w:b w:val="0"/>
                <w:bCs/>
                <w:color w:val="auto"/>
                <w:sz w:val="32"/>
                <w:szCs w:val="32"/>
                <w:highlight w:val="none"/>
                <w:lang w:val="en-US" w:eastAsia="zh-CN"/>
              </w:rPr>
              <w:t>商务部分、技术</w:t>
            </w:r>
            <w:r>
              <w:rPr>
                <w:rFonts w:hint="eastAsia" w:ascii="仿宋_GB2312" w:hAnsi="仿宋_GB2312" w:eastAsia="仿宋_GB2312" w:cs="仿宋_GB2312"/>
                <w:b w:val="0"/>
                <w:bCs/>
                <w:color w:val="auto"/>
                <w:sz w:val="32"/>
                <w:szCs w:val="32"/>
                <w:highlight w:val="none"/>
              </w:rPr>
              <w:t>部分、投标总报价得分进行汇总，确定得分由高至低前三名投标人为中标候选人。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511"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3.2.1（</w:t>
            </w: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w:t>
            </w:r>
          </w:p>
        </w:tc>
        <w:tc>
          <w:tcPr>
            <w:tcW w:w="1125" w:type="pct"/>
            <w:gridSpan w:val="2"/>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商务</w:t>
            </w:r>
            <w:r>
              <w:rPr>
                <w:rFonts w:hint="eastAsia" w:ascii="仿宋_GB2312" w:hAnsi="仿宋_GB2312" w:eastAsia="仿宋_GB2312" w:cs="仿宋_GB2312"/>
                <w:b w:val="0"/>
                <w:bCs/>
                <w:color w:val="auto"/>
                <w:sz w:val="32"/>
                <w:szCs w:val="32"/>
                <w:highlight w:val="none"/>
              </w:rPr>
              <w:t>部分</w:t>
            </w:r>
            <w:r>
              <w:rPr>
                <w:rFonts w:hint="eastAsia" w:ascii="仿宋_GB2312" w:hAnsi="仿宋_GB2312" w:eastAsia="仿宋_GB2312" w:cs="仿宋_GB2312"/>
                <w:b w:val="0"/>
                <w:bCs/>
                <w:color w:val="auto"/>
                <w:kern w:val="0"/>
                <w:sz w:val="32"/>
                <w:szCs w:val="32"/>
                <w:highlight w:val="none"/>
              </w:rPr>
              <w:t>得分</w:t>
            </w:r>
            <w:r>
              <w:rPr>
                <w:rFonts w:hint="eastAsia" w:ascii="仿宋_GB2312" w:hAnsi="仿宋_GB2312" w:eastAsia="仿宋_GB2312" w:cs="仿宋_GB2312"/>
                <w:b w:val="0"/>
                <w:bCs/>
                <w:color w:val="auto"/>
                <w:spacing w:val="-4"/>
                <w:sz w:val="32"/>
                <w:szCs w:val="32"/>
                <w:highlight w:val="none"/>
              </w:rPr>
              <w:t>（A）</w:t>
            </w:r>
          </w:p>
        </w:tc>
        <w:tc>
          <w:tcPr>
            <w:tcW w:w="3363" w:type="pct"/>
            <w:gridSpan w:val="2"/>
            <w:vAlign w:val="center"/>
          </w:tcPr>
          <w:p>
            <w:pPr>
              <w:keepNext w:val="0"/>
              <w:keepLines w:val="0"/>
              <w:pageBreakBefore w:val="0"/>
              <w:widowControl w:val="0"/>
              <w:kinsoku/>
              <w:overflowPunct/>
              <w:topLinePunct w:val="0"/>
              <w:bidi w:val="0"/>
              <w:spacing w:line="240" w:lineRule="auto"/>
              <w:ind w:firstLine="640" w:firstLineChars="200"/>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评标委员会按</w:t>
            </w:r>
            <w:r>
              <w:rPr>
                <w:rFonts w:hint="eastAsia" w:ascii="仿宋_GB2312" w:hAnsi="仿宋_GB2312" w:eastAsia="仿宋_GB2312" w:cs="仿宋_GB2312"/>
                <w:b w:val="0"/>
                <w:bCs/>
                <w:color w:val="auto"/>
                <w:sz w:val="32"/>
                <w:szCs w:val="32"/>
                <w:highlight w:val="none"/>
                <w:lang w:eastAsia="zh-CN"/>
              </w:rPr>
              <w:t>本评标办法</w:t>
            </w:r>
            <w:r>
              <w:rPr>
                <w:rFonts w:hint="eastAsia" w:ascii="仿宋_GB2312" w:hAnsi="仿宋_GB2312" w:eastAsia="仿宋_GB2312" w:cs="仿宋_GB2312"/>
                <w:b w:val="0"/>
                <w:bCs/>
                <w:color w:val="auto"/>
                <w:sz w:val="32"/>
                <w:szCs w:val="32"/>
                <w:highlight w:val="none"/>
              </w:rPr>
              <w:t>各评审因素设定的分值评分。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511"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3.2.1（</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w:t>
            </w:r>
          </w:p>
        </w:tc>
        <w:tc>
          <w:tcPr>
            <w:tcW w:w="1125" w:type="pct"/>
            <w:gridSpan w:val="2"/>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技术</w:t>
            </w:r>
            <w:r>
              <w:rPr>
                <w:rFonts w:hint="eastAsia" w:ascii="仿宋_GB2312" w:hAnsi="仿宋_GB2312" w:eastAsia="仿宋_GB2312" w:cs="仿宋_GB2312"/>
                <w:b w:val="0"/>
                <w:bCs/>
                <w:color w:val="auto"/>
                <w:sz w:val="32"/>
                <w:szCs w:val="32"/>
                <w:highlight w:val="none"/>
              </w:rPr>
              <w:t>部分</w:t>
            </w:r>
            <w:r>
              <w:rPr>
                <w:rFonts w:hint="eastAsia" w:ascii="仿宋_GB2312" w:hAnsi="仿宋_GB2312" w:eastAsia="仿宋_GB2312" w:cs="仿宋_GB2312"/>
                <w:b w:val="0"/>
                <w:bCs/>
                <w:color w:val="auto"/>
                <w:kern w:val="0"/>
                <w:sz w:val="32"/>
                <w:szCs w:val="32"/>
                <w:highlight w:val="none"/>
              </w:rPr>
              <w:t>得分</w:t>
            </w:r>
            <w:r>
              <w:rPr>
                <w:rFonts w:hint="eastAsia" w:ascii="仿宋_GB2312" w:hAnsi="仿宋_GB2312" w:eastAsia="仿宋_GB2312" w:cs="仿宋_GB2312"/>
                <w:b w:val="0"/>
                <w:bCs/>
                <w:color w:val="auto"/>
                <w:spacing w:val="-4"/>
                <w:sz w:val="32"/>
                <w:szCs w:val="32"/>
                <w:highlight w:val="none"/>
              </w:rPr>
              <w:t>（</w:t>
            </w:r>
            <w:r>
              <w:rPr>
                <w:rFonts w:hint="eastAsia" w:ascii="仿宋_GB2312" w:hAnsi="仿宋_GB2312" w:eastAsia="仿宋_GB2312" w:cs="仿宋_GB2312"/>
                <w:b w:val="0"/>
                <w:bCs/>
                <w:color w:val="auto"/>
                <w:spacing w:val="-4"/>
                <w:sz w:val="32"/>
                <w:szCs w:val="32"/>
                <w:highlight w:val="none"/>
                <w:lang w:val="en-US" w:eastAsia="zh-CN"/>
              </w:rPr>
              <w:t>B</w:t>
            </w:r>
            <w:r>
              <w:rPr>
                <w:rFonts w:hint="eastAsia" w:ascii="仿宋_GB2312" w:hAnsi="仿宋_GB2312" w:eastAsia="仿宋_GB2312" w:cs="仿宋_GB2312"/>
                <w:b w:val="0"/>
                <w:bCs/>
                <w:color w:val="auto"/>
                <w:spacing w:val="-4"/>
                <w:sz w:val="32"/>
                <w:szCs w:val="32"/>
                <w:highlight w:val="none"/>
              </w:rPr>
              <w:t>）</w:t>
            </w:r>
          </w:p>
        </w:tc>
        <w:tc>
          <w:tcPr>
            <w:tcW w:w="3363" w:type="pct"/>
            <w:gridSpan w:val="2"/>
            <w:vAlign w:val="center"/>
          </w:tcPr>
          <w:p>
            <w:pPr>
              <w:keepNext w:val="0"/>
              <w:keepLines w:val="0"/>
              <w:pageBreakBefore w:val="0"/>
              <w:widowControl w:val="0"/>
              <w:kinsoku/>
              <w:overflowPunct/>
              <w:topLinePunct w:val="0"/>
              <w:bidi w:val="0"/>
              <w:spacing w:line="240" w:lineRule="auto"/>
              <w:ind w:firstLine="640" w:firstLineChars="200"/>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评标委员会按</w:t>
            </w:r>
            <w:r>
              <w:rPr>
                <w:rFonts w:hint="eastAsia" w:ascii="仿宋_GB2312" w:hAnsi="仿宋_GB2312" w:eastAsia="仿宋_GB2312" w:cs="仿宋_GB2312"/>
                <w:b w:val="0"/>
                <w:bCs/>
                <w:color w:val="auto"/>
                <w:sz w:val="32"/>
                <w:szCs w:val="32"/>
                <w:highlight w:val="none"/>
                <w:lang w:eastAsia="zh-CN"/>
              </w:rPr>
              <w:t>本评标办法</w:t>
            </w:r>
            <w:r>
              <w:rPr>
                <w:rFonts w:hint="eastAsia" w:ascii="仿宋_GB2312" w:hAnsi="仿宋_GB2312" w:eastAsia="仿宋_GB2312" w:cs="仿宋_GB2312"/>
                <w:b w:val="0"/>
                <w:bCs/>
                <w:color w:val="auto"/>
                <w:sz w:val="32"/>
                <w:szCs w:val="32"/>
                <w:highlight w:val="none"/>
              </w:rPr>
              <w:t>各评审因素设定的分值评分。</w:t>
            </w:r>
          </w:p>
          <w:p>
            <w:pPr>
              <w:keepNext w:val="0"/>
              <w:keepLines w:val="0"/>
              <w:pageBreakBefore w:val="0"/>
              <w:widowControl w:val="0"/>
              <w:kinsoku/>
              <w:overflowPunct/>
              <w:topLinePunct w:val="0"/>
              <w:bidi w:val="0"/>
              <w:spacing w:line="240" w:lineRule="auto"/>
              <w:ind w:firstLine="640" w:firstLineChars="200"/>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评标委员会成员为5人及以上时，所有评委打分取算术平均值为该投标人</w:t>
            </w:r>
            <w:r>
              <w:rPr>
                <w:rFonts w:hint="eastAsia" w:ascii="仿宋_GB2312" w:hAnsi="仿宋_GB2312" w:eastAsia="仿宋_GB2312" w:cs="仿宋_GB2312"/>
                <w:b w:val="0"/>
                <w:bCs/>
                <w:color w:val="auto"/>
                <w:sz w:val="32"/>
                <w:szCs w:val="32"/>
                <w:highlight w:val="none"/>
                <w:lang w:val="en-US" w:eastAsia="zh-CN"/>
              </w:rPr>
              <w:t>技术</w:t>
            </w:r>
            <w:r>
              <w:rPr>
                <w:rFonts w:hint="eastAsia" w:ascii="仿宋_GB2312" w:hAnsi="仿宋_GB2312" w:eastAsia="仿宋_GB2312" w:cs="仿宋_GB2312"/>
                <w:b w:val="0"/>
                <w:bCs/>
                <w:color w:val="auto"/>
                <w:sz w:val="32"/>
                <w:szCs w:val="32"/>
                <w:highlight w:val="none"/>
              </w:rPr>
              <w:t>部分得分。</w:t>
            </w:r>
          </w:p>
          <w:p>
            <w:pPr>
              <w:keepNext w:val="0"/>
              <w:keepLines w:val="0"/>
              <w:pageBreakBefore w:val="0"/>
              <w:widowControl w:val="0"/>
              <w:kinsoku/>
              <w:overflowPunct/>
              <w:topLinePunct w:val="0"/>
              <w:bidi w:val="0"/>
              <w:spacing w:line="240" w:lineRule="auto"/>
              <w:ind w:firstLine="640" w:firstLineChars="200"/>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sz w:val="32"/>
                <w:szCs w:val="32"/>
                <w:highlight w:val="none"/>
                <w:lang w:val="en-US" w:eastAsia="zh-CN"/>
              </w:rPr>
              <w:t>技术</w:t>
            </w:r>
            <w:r>
              <w:rPr>
                <w:rFonts w:hint="eastAsia" w:ascii="仿宋_GB2312" w:hAnsi="仿宋_GB2312" w:eastAsia="仿宋_GB2312" w:cs="仿宋_GB2312"/>
                <w:b w:val="0"/>
                <w:bCs/>
                <w:color w:val="auto"/>
                <w:sz w:val="32"/>
                <w:szCs w:val="32"/>
                <w:highlight w:val="none"/>
              </w:rPr>
              <w:t>部分得分的最终结果取小数点后两位，第三位四舍五入。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511"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3.2.1（</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w:t>
            </w:r>
          </w:p>
        </w:tc>
        <w:tc>
          <w:tcPr>
            <w:tcW w:w="1125" w:type="pct"/>
            <w:gridSpan w:val="2"/>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投标报价</w:t>
            </w:r>
            <w:r>
              <w:rPr>
                <w:rFonts w:hint="eastAsia" w:ascii="仿宋_GB2312" w:hAnsi="仿宋_GB2312" w:eastAsia="仿宋_GB2312" w:cs="仿宋_GB2312"/>
                <w:b w:val="0"/>
                <w:bCs/>
                <w:color w:val="auto"/>
                <w:kern w:val="0"/>
                <w:sz w:val="32"/>
                <w:szCs w:val="32"/>
                <w:highlight w:val="none"/>
              </w:rPr>
              <w:t>得分</w:t>
            </w:r>
            <w:r>
              <w:rPr>
                <w:rFonts w:hint="eastAsia" w:ascii="仿宋_GB2312" w:hAnsi="仿宋_GB2312" w:eastAsia="仿宋_GB2312" w:cs="仿宋_GB2312"/>
                <w:b w:val="0"/>
                <w:bCs/>
                <w:color w:val="auto"/>
                <w:spacing w:val="-8"/>
                <w:sz w:val="32"/>
                <w:szCs w:val="32"/>
                <w:highlight w:val="none"/>
              </w:rPr>
              <w:t>（</w:t>
            </w:r>
            <w:r>
              <w:rPr>
                <w:rFonts w:hint="eastAsia" w:ascii="仿宋_GB2312" w:hAnsi="仿宋_GB2312" w:eastAsia="仿宋_GB2312" w:cs="仿宋_GB2312"/>
                <w:b w:val="0"/>
                <w:bCs/>
                <w:color w:val="auto"/>
                <w:spacing w:val="-8"/>
                <w:sz w:val="32"/>
                <w:szCs w:val="32"/>
                <w:highlight w:val="none"/>
                <w:lang w:val="en-US" w:eastAsia="zh-CN"/>
              </w:rPr>
              <w:t>C</w:t>
            </w:r>
            <w:r>
              <w:rPr>
                <w:rFonts w:hint="eastAsia" w:ascii="仿宋_GB2312" w:hAnsi="仿宋_GB2312" w:eastAsia="仿宋_GB2312" w:cs="仿宋_GB2312"/>
                <w:b w:val="0"/>
                <w:bCs/>
                <w:color w:val="auto"/>
                <w:spacing w:val="-8"/>
                <w:sz w:val="32"/>
                <w:szCs w:val="32"/>
                <w:highlight w:val="none"/>
              </w:rPr>
              <w:t>）</w:t>
            </w:r>
          </w:p>
        </w:tc>
        <w:tc>
          <w:tcPr>
            <w:tcW w:w="357"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投标总报价</w:t>
            </w:r>
          </w:p>
        </w:tc>
        <w:tc>
          <w:tcPr>
            <w:tcW w:w="3005" w:type="pct"/>
            <w:vAlign w:val="center"/>
          </w:tcPr>
          <w:p>
            <w:pPr>
              <w:keepNext w:val="0"/>
              <w:keepLines w:val="0"/>
              <w:pageBreakBefore w:val="0"/>
              <w:widowControl w:val="0"/>
              <w:kinsoku/>
              <w:overflowPunct/>
              <w:topLinePunct w:val="0"/>
              <w:bidi w:val="0"/>
              <w:spacing w:line="240" w:lineRule="auto"/>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kern w:val="0"/>
                <w:sz w:val="32"/>
                <w:szCs w:val="32"/>
                <w:highlight w:val="none"/>
              </w:rPr>
              <w:t>所有通过初步评审合格的投标人的投标总报价</w:t>
            </w:r>
            <w:r>
              <w:rPr>
                <w:rFonts w:hint="eastAsia" w:ascii="仿宋_GB2312" w:hAnsi="仿宋_GB2312" w:eastAsia="仿宋_GB2312" w:cs="仿宋_GB2312"/>
                <w:b w:val="0"/>
                <w:bCs/>
                <w:color w:val="auto"/>
                <w:sz w:val="32"/>
                <w:szCs w:val="32"/>
                <w:highlight w:val="none"/>
              </w:rPr>
              <w:t>得规定分值的</w:t>
            </w:r>
            <w:r>
              <w:rPr>
                <w:rFonts w:hint="eastAsia" w:ascii="仿宋_GB2312" w:hAnsi="仿宋_GB2312" w:eastAsia="仿宋_GB2312" w:cs="仿宋_GB2312"/>
                <w:b w:val="0"/>
                <w:bCs/>
                <w:color w:val="auto"/>
                <w:kern w:val="0"/>
                <w:sz w:val="32"/>
                <w:szCs w:val="32"/>
                <w:highlight w:val="none"/>
              </w:rPr>
              <w:t xml:space="preserve">满分 </w:t>
            </w:r>
            <w:r>
              <w:rPr>
                <w:rFonts w:hint="eastAsia" w:ascii="仿宋_GB2312" w:hAnsi="仿宋_GB2312" w:eastAsia="仿宋_GB2312" w:cs="仿宋_GB2312"/>
                <w:b w:val="0"/>
                <w:bCs/>
                <w:color w:val="auto"/>
                <w:kern w:val="0"/>
                <w:sz w:val="32"/>
                <w:szCs w:val="32"/>
                <w:highlight w:val="none"/>
                <w:lang w:val="en-US" w:eastAsia="zh-CN"/>
              </w:rPr>
              <w:t>60</w:t>
            </w:r>
            <w:r>
              <w:rPr>
                <w:rFonts w:hint="eastAsia" w:ascii="仿宋_GB2312" w:hAnsi="仿宋_GB2312" w:eastAsia="仿宋_GB2312" w:cs="仿宋_GB2312"/>
                <w:b w:val="0"/>
                <w:bCs/>
                <w:color w:val="auto"/>
                <w:kern w:val="0"/>
                <w:sz w:val="32"/>
                <w:szCs w:val="32"/>
                <w:highlight w:val="none"/>
              </w:rPr>
              <w:t xml:space="preserve"> 分；在此基础上，投标总报价与评标基准价相比，每增加1%扣 </w:t>
            </w:r>
            <w:r>
              <w:rPr>
                <w:rFonts w:hint="eastAsia" w:ascii="仿宋_GB2312" w:hAnsi="仿宋_GB2312" w:eastAsia="仿宋_GB2312" w:cs="仿宋_GB2312"/>
                <w:b w:val="0"/>
                <w:bCs/>
                <w:color w:val="auto"/>
                <w:kern w:val="0"/>
                <w:sz w:val="32"/>
                <w:szCs w:val="32"/>
                <w:highlight w:val="none"/>
                <w:lang w:val="en-US" w:eastAsia="zh-CN"/>
              </w:rPr>
              <w:t>1</w:t>
            </w:r>
            <w:r>
              <w:rPr>
                <w:rFonts w:hint="eastAsia" w:ascii="仿宋_GB2312" w:hAnsi="仿宋_GB2312" w:eastAsia="仿宋_GB2312" w:cs="仿宋_GB2312"/>
                <w:b w:val="0"/>
                <w:bCs/>
                <w:color w:val="auto"/>
                <w:kern w:val="0"/>
                <w:sz w:val="32"/>
                <w:szCs w:val="32"/>
                <w:highlight w:val="none"/>
              </w:rPr>
              <w:t xml:space="preserve"> 分，每减少1%扣 </w:t>
            </w:r>
            <w:r>
              <w:rPr>
                <w:rFonts w:hint="eastAsia" w:ascii="仿宋_GB2312" w:hAnsi="仿宋_GB2312" w:eastAsia="仿宋_GB2312" w:cs="仿宋_GB2312"/>
                <w:b w:val="0"/>
                <w:bCs/>
                <w:color w:val="auto"/>
                <w:kern w:val="0"/>
                <w:sz w:val="32"/>
                <w:szCs w:val="32"/>
                <w:highlight w:val="none"/>
                <w:lang w:val="en-US" w:eastAsia="zh-CN"/>
              </w:rPr>
              <w:t>0.5</w:t>
            </w:r>
            <w:r>
              <w:rPr>
                <w:rFonts w:hint="eastAsia" w:ascii="仿宋_GB2312" w:hAnsi="仿宋_GB2312" w:eastAsia="仿宋_GB2312" w:cs="仿宋_GB2312"/>
                <w:b w:val="0"/>
                <w:bCs/>
                <w:color w:val="auto"/>
                <w:kern w:val="0"/>
                <w:sz w:val="32"/>
                <w:szCs w:val="32"/>
                <w:highlight w:val="none"/>
              </w:rPr>
              <w:t xml:space="preserve"> 分，</w:t>
            </w:r>
            <w:r>
              <w:rPr>
                <w:rFonts w:hint="eastAsia" w:ascii="仿宋_GB2312" w:hAnsi="仿宋_GB2312" w:eastAsia="仿宋_GB2312" w:cs="仿宋_GB2312"/>
                <w:b w:val="0"/>
                <w:bCs/>
                <w:color w:val="auto"/>
                <w:sz w:val="32"/>
                <w:szCs w:val="32"/>
                <w:highlight w:val="none"/>
              </w:rPr>
              <w:t>扣完为止。</w:t>
            </w:r>
          </w:p>
          <w:p>
            <w:pPr>
              <w:keepNext w:val="0"/>
              <w:keepLines w:val="0"/>
              <w:pageBreakBefore w:val="0"/>
              <w:widowControl w:val="0"/>
              <w:kinsoku/>
              <w:overflowPunct/>
              <w:topLinePunct w:val="0"/>
              <w:bidi w:val="0"/>
              <w:spacing w:line="240" w:lineRule="auto"/>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按插入法计算得分。</w:t>
            </w:r>
          </w:p>
          <w:p>
            <w:pPr>
              <w:keepNext w:val="0"/>
              <w:keepLines w:val="0"/>
              <w:pageBreakBefore w:val="0"/>
              <w:widowControl w:val="0"/>
              <w:kinsoku/>
              <w:overflowPunct/>
              <w:topLinePunct w:val="0"/>
              <w:bidi w:val="0"/>
              <w:spacing w:line="240" w:lineRule="auto"/>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在偏差范围内，未参与评标基准价计算的投标报价，仍应参加计算相应分值。</w:t>
            </w:r>
          </w:p>
          <w:p>
            <w:pPr>
              <w:keepNext w:val="0"/>
              <w:keepLines w:val="0"/>
              <w:pageBreakBefore w:val="0"/>
              <w:widowControl w:val="0"/>
              <w:kinsoku/>
              <w:overflowPunct/>
              <w:topLinePunct w:val="0"/>
              <w:bidi w:val="0"/>
              <w:spacing w:line="240" w:lineRule="auto"/>
              <w:ind w:firstLine="640" w:firstLineChars="200"/>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投标总报价最终结果取小数点后两位，第三位四舍五入。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636" w:type="pct"/>
            <w:gridSpan w:val="3"/>
            <w:vAlign w:val="center"/>
          </w:tcPr>
          <w:p>
            <w:pPr>
              <w:keepNext w:val="0"/>
              <w:keepLines w:val="0"/>
              <w:pageBreakBefore w:val="0"/>
              <w:widowControl w:val="0"/>
              <w:kinsoku/>
              <w:overflowPunct/>
              <w:topLinePunct w:val="0"/>
              <w:bidi w:val="0"/>
              <w:spacing w:line="240" w:lineRule="auto"/>
              <w:ind w:firstLine="28" w:firstLineChars="9"/>
              <w:jc w:val="center"/>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3.2.3</w:t>
            </w:r>
          </w:p>
        </w:tc>
        <w:tc>
          <w:tcPr>
            <w:tcW w:w="357" w:type="pct"/>
            <w:vAlign w:val="center"/>
          </w:tcPr>
          <w:p>
            <w:pPr>
              <w:keepNext w:val="0"/>
              <w:keepLines w:val="0"/>
              <w:pageBreakBefore w:val="0"/>
              <w:widowControl w:val="0"/>
              <w:kinsoku/>
              <w:overflowPunct/>
              <w:topLinePunct w:val="0"/>
              <w:bidi w:val="0"/>
              <w:spacing w:line="240" w:lineRule="auto"/>
              <w:ind w:firstLine="28" w:firstLineChars="9"/>
              <w:jc w:val="center"/>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投标人得分</w:t>
            </w:r>
          </w:p>
        </w:tc>
        <w:tc>
          <w:tcPr>
            <w:tcW w:w="3005" w:type="pct"/>
            <w:vAlign w:val="center"/>
          </w:tcPr>
          <w:p>
            <w:pPr>
              <w:keepNext w:val="0"/>
              <w:keepLines w:val="0"/>
              <w:pageBreakBefore w:val="0"/>
              <w:widowControl w:val="0"/>
              <w:kinsoku/>
              <w:overflowPunct/>
              <w:topLinePunct w:val="0"/>
              <w:bidi w:val="0"/>
              <w:spacing w:line="240" w:lineRule="auto"/>
              <w:jc w:val="center"/>
              <w:textAlignment w:val="auto"/>
              <w:rPr>
                <w:rFonts w:hint="eastAsia" w:ascii="仿宋_GB2312" w:hAnsi="仿宋_GB2312" w:eastAsia="仿宋_GB2312" w:cs="仿宋_GB2312"/>
                <w:b w:val="0"/>
                <w:bCs/>
                <w:color w:val="auto"/>
                <w:sz w:val="32"/>
                <w:szCs w:val="32"/>
                <w:highlight w:val="none"/>
                <w:u w:val="single"/>
                <w:lang w:val="en-US" w:eastAsia="zh-CN"/>
              </w:rPr>
            </w:pPr>
            <w:r>
              <w:rPr>
                <w:rFonts w:hint="eastAsia" w:ascii="仿宋_GB2312" w:hAnsi="仿宋_GB2312" w:eastAsia="仿宋_GB2312" w:cs="仿宋_GB2312"/>
                <w:b w:val="0"/>
                <w:bCs/>
                <w:color w:val="auto"/>
                <w:sz w:val="32"/>
                <w:szCs w:val="32"/>
                <w:highlight w:val="none"/>
                <w:u w:val="single"/>
              </w:rPr>
              <w:t>投标人得分=A+B</w:t>
            </w:r>
            <w:r>
              <w:rPr>
                <w:rFonts w:hint="eastAsia" w:ascii="仿宋_GB2312" w:hAnsi="仿宋_GB2312" w:eastAsia="仿宋_GB2312" w:cs="仿宋_GB2312"/>
                <w:b w:val="0"/>
                <w:bCs/>
                <w:color w:val="auto"/>
                <w:sz w:val="32"/>
                <w:szCs w:val="32"/>
                <w:highlight w:val="none"/>
                <w:u w:val="single"/>
                <w:lang w:val="en-US" w:eastAsia="zh-CN"/>
              </w:rPr>
              <w:t>+C</w:t>
            </w:r>
          </w:p>
        </w:tc>
      </w:tr>
    </w:tbl>
    <w:p>
      <w:pPr>
        <w:numPr>
          <w:ilvl w:val="0"/>
          <w:numId w:val="0"/>
        </w:numPr>
        <w:adjustRightInd w:val="0"/>
        <w:snapToGrid w:val="0"/>
        <w:spacing w:line="480" w:lineRule="exact"/>
        <w:ind w:leftChars="200"/>
        <w:rPr>
          <w:rFonts w:hint="eastAsia" w:eastAsia="黑体"/>
          <w:szCs w:val="28"/>
          <w:lang w:val="en-US" w:eastAsia="zh-CN"/>
        </w:rPr>
      </w:pPr>
    </w:p>
    <w:p>
      <w:pPr>
        <w:numPr>
          <w:ilvl w:val="0"/>
          <w:numId w:val="0"/>
        </w:numPr>
        <w:adjustRightInd w:val="0"/>
        <w:snapToGrid w:val="0"/>
        <w:spacing w:line="480" w:lineRule="exact"/>
        <w:ind w:leftChars="200"/>
        <w:rPr>
          <w:rFonts w:eastAsia="黑体"/>
          <w:szCs w:val="28"/>
        </w:rPr>
      </w:pPr>
      <w:r>
        <w:rPr>
          <w:rFonts w:hint="eastAsia" w:eastAsia="黑体"/>
          <w:szCs w:val="28"/>
          <w:lang w:val="en-US" w:eastAsia="zh-CN"/>
        </w:rPr>
        <w:t>七、</w:t>
      </w:r>
      <w:r>
        <w:rPr>
          <w:rFonts w:hint="eastAsia" w:eastAsia="黑体"/>
          <w:szCs w:val="28"/>
        </w:rPr>
        <w:t>询价文件申领时间、方式</w:t>
      </w:r>
    </w:p>
    <w:p>
      <w:pPr>
        <w:adjustRightInd w:val="0"/>
        <w:snapToGrid w:val="0"/>
        <w:spacing w:line="480" w:lineRule="exact"/>
        <w:ind w:firstLine="560" w:firstLineChars="200"/>
        <w:rPr>
          <w:rFonts w:hint="eastAsia" w:ascii="仿宋_GB2312" w:hAnsi="仿宋_GB2312" w:eastAsia="仿宋_GB2312" w:cs="仿宋_GB2312"/>
          <w:kern w:val="0"/>
          <w:szCs w:val="28"/>
          <w:lang w:eastAsia="zh-CN"/>
        </w:rPr>
      </w:pPr>
      <w:r>
        <w:rPr>
          <w:rFonts w:hint="eastAsia" w:ascii="楷体_GB2312" w:hAnsi="楷体_GB2312" w:eastAsia="楷体_GB2312" w:cs="楷体_GB2312"/>
          <w:szCs w:val="28"/>
        </w:rPr>
        <w:t>（一）询价文件申领时间：自公告发布之日起</w:t>
      </w:r>
      <w:r>
        <w:rPr>
          <w:rFonts w:hint="eastAsia" w:ascii="仿宋_GB2312" w:hAnsi="仿宋_GB2312" w:eastAsia="仿宋_GB2312" w:cs="仿宋_GB2312"/>
          <w:kern w:val="0"/>
          <w:szCs w:val="28"/>
        </w:rPr>
        <w:t>至</w:t>
      </w:r>
      <w:r>
        <w:rPr>
          <w:rFonts w:hint="eastAsia" w:ascii="仿宋_GB2312" w:hAnsi="仿宋_GB2312" w:eastAsia="仿宋_GB2312" w:cs="仿宋_GB2312"/>
          <w:szCs w:val="28"/>
          <w:u w:val="single"/>
        </w:rPr>
        <w:t>2023</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1</w:t>
      </w:r>
      <w:r>
        <w:rPr>
          <w:rFonts w:hint="eastAsia" w:ascii="仿宋_GB2312" w:hAnsi="仿宋_GB2312" w:eastAsia="仿宋_GB2312" w:cs="仿宋_GB2312"/>
          <w:szCs w:val="28"/>
          <w:u w:val="single"/>
          <w:lang w:val="en-US" w:eastAsia="zh-CN"/>
        </w:rPr>
        <w:t>1</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lang w:val="en-US" w:eastAsia="zh-CN"/>
        </w:rPr>
        <w:t>20</w:t>
      </w:r>
      <w:r>
        <w:rPr>
          <w:rFonts w:hint="eastAsia" w:ascii="仿宋_GB2312" w:hAnsi="仿宋_GB2312" w:eastAsia="仿宋_GB2312" w:cs="仿宋_GB2312"/>
          <w:szCs w:val="28"/>
        </w:rPr>
        <w:t>日</w:t>
      </w:r>
      <w:r>
        <w:rPr>
          <w:rFonts w:hint="eastAsia" w:ascii="仿宋_GB2312" w:hAnsi="仿宋_GB2312" w:eastAsia="仿宋_GB2312" w:cs="仿宋_GB2312"/>
          <w:szCs w:val="28"/>
          <w:lang w:eastAsia="zh-CN"/>
        </w:rPr>
        <w:t>。</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（二）询价文件申领方式：同询价公告一并挂网，自行下载。</w:t>
      </w:r>
    </w:p>
    <w:p>
      <w:pPr>
        <w:numPr>
          <w:ilvl w:val="0"/>
          <w:numId w:val="0"/>
        </w:numPr>
        <w:adjustRightInd w:val="0"/>
        <w:snapToGrid w:val="0"/>
        <w:spacing w:line="480" w:lineRule="exact"/>
        <w:ind w:leftChars="200"/>
        <w:rPr>
          <w:rFonts w:ascii="黑体" w:hAnsi="黑体" w:eastAsia="黑体" w:cs="黑体"/>
          <w:szCs w:val="28"/>
        </w:rPr>
      </w:pPr>
      <w:r>
        <w:rPr>
          <w:rFonts w:hint="eastAsia" w:ascii="黑体" w:hAnsi="黑体" w:eastAsia="黑体" w:cs="黑体"/>
          <w:szCs w:val="28"/>
          <w:lang w:val="en-US" w:eastAsia="zh-CN"/>
        </w:rPr>
        <w:t>八、</w:t>
      </w:r>
      <w:r>
        <w:rPr>
          <w:rFonts w:hint="eastAsia" w:ascii="黑体" w:hAnsi="黑体" w:eastAsia="黑体" w:cs="黑体"/>
          <w:szCs w:val="28"/>
        </w:rPr>
        <w:t>报价文件递交：</w:t>
      </w:r>
    </w:p>
    <w:p>
      <w:pPr>
        <w:adjustRightInd w:val="0"/>
        <w:snapToGrid w:val="0"/>
        <w:spacing w:line="480" w:lineRule="exact"/>
        <w:ind w:firstLine="560" w:firstLineChars="200"/>
        <w:rPr>
          <w:rFonts w:hint="eastAsia" w:ascii="仿宋_GB2312" w:hAnsi="仿宋_GB2312" w:eastAsia="仿宋_GB2312" w:cs="仿宋_GB2312"/>
          <w:szCs w:val="28"/>
          <w:lang w:val="en-US" w:eastAsia="zh-CN"/>
        </w:rPr>
      </w:pPr>
      <w:r>
        <w:rPr>
          <w:rFonts w:hint="eastAsia" w:ascii="楷体_GB2312" w:hAnsi="楷体_GB2312" w:eastAsia="楷体_GB2312" w:cs="楷体_GB2312"/>
          <w:szCs w:val="28"/>
        </w:rPr>
        <w:t>（一）报价文件递交截止时间：</w:t>
      </w:r>
      <w:r>
        <w:rPr>
          <w:rFonts w:hint="eastAsia" w:ascii="仿宋_GB2312" w:hAnsi="仿宋_GB2312" w:eastAsia="仿宋_GB2312" w:cs="仿宋_GB2312"/>
          <w:szCs w:val="28"/>
          <w:u w:val="single"/>
        </w:rPr>
        <w:t>2023</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1</w:t>
      </w:r>
      <w:r>
        <w:rPr>
          <w:rFonts w:hint="eastAsia" w:ascii="仿宋_GB2312" w:hAnsi="仿宋_GB2312" w:eastAsia="仿宋_GB2312" w:cs="仿宋_GB2312"/>
          <w:szCs w:val="28"/>
          <w:u w:val="single"/>
          <w:lang w:val="en-US" w:eastAsia="zh-CN"/>
        </w:rPr>
        <w:t>1</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lang w:val="en-US" w:eastAsia="zh-CN"/>
        </w:rPr>
        <w:t>23</w:t>
      </w:r>
      <w:r>
        <w:rPr>
          <w:rFonts w:hint="eastAsia" w:ascii="仿宋_GB2312" w:hAnsi="仿宋_GB2312" w:eastAsia="仿宋_GB2312" w:cs="仿宋_GB2312"/>
          <w:szCs w:val="28"/>
        </w:rPr>
        <w:t>日</w:t>
      </w:r>
      <w:r>
        <w:rPr>
          <w:rFonts w:hint="eastAsia" w:ascii="仿宋_GB2312" w:hAnsi="仿宋_GB2312" w:eastAsia="仿宋_GB2312" w:cs="仿宋_GB2312"/>
          <w:szCs w:val="28"/>
          <w:u w:val="single"/>
          <w:lang w:val="en-US" w:eastAsia="zh-CN"/>
        </w:rPr>
        <w:t>18</w:t>
      </w:r>
      <w:r>
        <w:rPr>
          <w:rFonts w:hint="eastAsia" w:ascii="仿宋_GB2312" w:hAnsi="仿宋_GB2312" w:eastAsia="仿宋_GB2312" w:cs="仿宋_GB2312"/>
          <w:szCs w:val="28"/>
        </w:rPr>
        <w:t>时</w:t>
      </w:r>
      <w:r>
        <w:rPr>
          <w:rFonts w:hint="eastAsia" w:ascii="仿宋_GB2312" w:hAnsi="仿宋_GB2312" w:eastAsia="仿宋_GB2312" w:cs="仿宋_GB2312"/>
          <w:szCs w:val="28"/>
          <w:lang w:eastAsia="zh-CN"/>
        </w:rPr>
        <w:t>。</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（二）报价文件递交要求：封面签字盖章密封递交。</w:t>
      </w:r>
    </w:p>
    <w:p>
      <w:pPr>
        <w:snapToGrid w:val="0"/>
        <w:spacing w:line="480" w:lineRule="exact"/>
        <w:ind w:firstLine="560" w:firstLineChars="200"/>
        <w:jc w:val="left"/>
        <w:rPr>
          <w:rFonts w:eastAsia="仿宋_GB2312"/>
          <w:szCs w:val="28"/>
        </w:rPr>
      </w:pPr>
      <w:r>
        <w:rPr>
          <w:rFonts w:hint="eastAsia" w:eastAsia="仿宋_GB2312"/>
          <w:szCs w:val="28"/>
        </w:rPr>
        <w:t>1.询价申请人须备齐相关资料并密封装在文件袋中，于报价文件递交截止时间前</w:t>
      </w:r>
      <w:r>
        <w:rPr>
          <w:rFonts w:hint="eastAsia" w:eastAsia="仿宋_GB2312"/>
          <w:szCs w:val="28"/>
          <w:lang w:val="en-US" w:eastAsia="zh-CN"/>
        </w:rPr>
        <w:t>现场递交</w:t>
      </w:r>
      <w:r>
        <w:rPr>
          <w:rFonts w:hint="eastAsia" w:eastAsia="仿宋_GB2312"/>
          <w:szCs w:val="28"/>
        </w:rPr>
        <w:t>至询价人。</w:t>
      </w:r>
    </w:p>
    <w:p>
      <w:pPr>
        <w:snapToGrid w:val="0"/>
        <w:spacing w:line="480" w:lineRule="exact"/>
        <w:ind w:firstLine="560" w:firstLineChars="200"/>
        <w:jc w:val="left"/>
        <w:rPr>
          <w:rFonts w:eastAsia="仿宋_GB2312"/>
          <w:szCs w:val="28"/>
        </w:rPr>
      </w:pPr>
      <w:r>
        <w:rPr>
          <w:rFonts w:hint="eastAsia" w:eastAsia="仿宋_GB2312"/>
          <w:szCs w:val="28"/>
        </w:rPr>
        <w:t>2须提交的文件：询价申请人须将下列文件一并装入文件袋、粘贴封条、加盖印章并密封</w:t>
      </w:r>
    </w:p>
    <w:p>
      <w:pPr>
        <w:snapToGrid w:val="0"/>
        <w:spacing w:line="480" w:lineRule="exact"/>
        <w:ind w:firstLine="560" w:firstLineChars="200"/>
        <w:jc w:val="left"/>
        <w:rPr>
          <w:rFonts w:eastAsia="仿宋_GB2312"/>
          <w:szCs w:val="28"/>
        </w:rPr>
      </w:pPr>
      <w:r>
        <w:rPr>
          <w:rFonts w:hint="eastAsia" w:eastAsia="仿宋_GB2312"/>
          <w:szCs w:val="28"/>
        </w:rPr>
        <w:t>（1）报价文件（含技术指标</w:t>
      </w:r>
      <w:r>
        <w:rPr>
          <w:rFonts w:hint="eastAsia" w:eastAsia="仿宋_GB2312"/>
          <w:szCs w:val="28"/>
          <w:lang w:val="en-US" w:eastAsia="zh-CN"/>
        </w:rPr>
        <w:t>相应</w:t>
      </w:r>
      <w:r>
        <w:rPr>
          <w:rFonts w:hint="eastAsia" w:eastAsia="仿宋_GB2312"/>
          <w:szCs w:val="28"/>
        </w:rPr>
        <w:t>表，并附相关证明材料，格式自拟，加盖公章。）</w:t>
      </w:r>
    </w:p>
    <w:p>
      <w:pPr>
        <w:snapToGrid w:val="0"/>
        <w:spacing w:line="480" w:lineRule="exact"/>
        <w:ind w:firstLine="560" w:firstLineChars="200"/>
        <w:jc w:val="left"/>
        <w:rPr>
          <w:rFonts w:eastAsia="仿宋_GB2312"/>
          <w:szCs w:val="28"/>
        </w:rPr>
      </w:pPr>
      <w:r>
        <w:rPr>
          <w:rFonts w:hint="eastAsia" w:eastAsia="仿宋_GB2312"/>
          <w:szCs w:val="28"/>
        </w:rPr>
        <w:t>（2）</w:t>
      </w:r>
      <w:r>
        <w:rPr>
          <w:rFonts w:hint="eastAsia" w:eastAsia="仿宋_GB2312"/>
          <w:szCs w:val="28"/>
          <w:lang w:val="en-US" w:eastAsia="zh-CN"/>
        </w:rPr>
        <w:t>法人代表证明书，法人代表授权书，</w:t>
      </w:r>
      <w:r>
        <w:rPr>
          <w:rFonts w:hint="eastAsia" w:eastAsia="仿宋_GB2312"/>
          <w:szCs w:val="28"/>
        </w:rPr>
        <w:t>营业执照，组织机构代码证，税务登记证或三证合一的（“统一社会信用代码的营业执照”）复印件加盖公章。</w:t>
      </w:r>
    </w:p>
    <w:p>
      <w:pPr>
        <w:snapToGrid w:val="0"/>
        <w:spacing w:line="480" w:lineRule="exact"/>
        <w:ind w:firstLine="560" w:firstLineChars="200"/>
        <w:jc w:val="left"/>
      </w:pPr>
      <w:r>
        <w:rPr>
          <w:rFonts w:hint="eastAsia" w:eastAsia="仿宋_GB2312"/>
          <w:szCs w:val="28"/>
        </w:rPr>
        <w:t>（3）保修承诺书。</w:t>
      </w:r>
    </w:p>
    <w:p>
      <w:pPr>
        <w:adjustRightInd w:val="0"/>
        <w:snapToGrid w:val="0"/>
        <w:spacing w:line="480" w:lineRule="exact"/>
        <w:ind w:firstLine="560" w:firstLineChars="200"/>
        <w:rPr>
          <w:rFonts w:hint="default" w:ascii="仿宋_GB2312" w:hAnsi="仿宋_GB2312" w:eastAsia="仿宋_GB2312" w:cs="仿宋_GB2312"/>
          <w:szCs w:val="28"/>
          <w:lang w:val="en-US" w:eastAsia="zh-CN"/>
        </w:rPr>
      </w:pPr>
      <w:r>
        <w:rPr>
          <w:rFonts w:hint="eastAsia" w:ascii="楷体_GB2312" w:hAnsi="楷体_GB2312" w:eastAsia="楷体_GB2312" w:cs="楷体_GB2312"/>
          <w:szCs w:val="28"/>
        </w:rPr>
        <w:t>（三）报价文件递交地址：</w:t>
      </w:r>
      <w:r>
        <w:rPr>
          <w:rFonts w:hint="eastAsia" w:ascii="仿宋_GB2312" w:hAnsi="仿宋_GB2312" w:eastAsia="仿宋_GB2312" w:cs="仿宋_GB2312"/>
          <w:szCs w:val="28"/>
          <w:u w:val="single"/>
        </w:rPr>
        <w:t>重庆市</w:t>
      </w:r>
      <w:r>
        <w:rPr>
          <w:rFonts w:hint="eastAsia" w:ascii="仿宋_GB2312" w:hAnsi="仿宋_GB2312" w:eastAsia="仿宋_GB2312" w:cs="仿宋_GB2312"/>
          <w:szCs w:val="28"/>
          <w:u w:val="single"/>
          <w:lang w:val="en-US" w:eastAsia="zh-CN"/>
        </w:rPr>
        <w:t>高新区大学城南路9号</w:t>
      </w:r>
      <w:r>
        <w:rPr>
          <w:rFonts w:hint="eastAsia" w:ascii="仿宋_GB2312" w:hAnsi="仿宋_GB2312" w:eastAsia="仿宋_GB2312" w:cs="仿宋_GB2312"/>
          <w:szCs w:val="28"/>
          <w:lang w:val="en-US" w:eastAsia="zh-CN"/>
        </w:rPr>
        <w:t>。</w:t>
      </w:r>
    </w:p>
    <w:p>
      <w:pPr>
        <w:numPr>
          <w:ilvl w:val="0"/>
          <w:numId w:val="0"/>
        </w:numPr>
        <w:adjustRightInd w:val="0"/>
        <w:snapToGrid w:val="0"/>
        <w:spacing w:line="480" w:lineRule="exact"/>
        <w:ind w:leftChars="200"/>
        <w:rPr>
          <w:rFonts w:ascii="黑体" w:hAnsi="黑体" w:eastAsia="黑体" w:cs="黑体"/>
          <w:szCs w:val="28"/>
        </w:rPr>
      </w:pPr>
      <w:r>
        <w:rPr>
          <w:rFonts w:hint="eastAsia" w:ascii="黑体" w:hAnsi="黑体" w:eastAsia="黑体" w:cs="黑体"/>
          <w:szCs w:val="28"/>
          <w:lang w:val="en-US" w:eastAsia="zh-CN"/>
        </w:rPr>
        <w:t>九、</w:t>
      </w:r>
      <w:r>
        <w:rPr>
          <w:rFonts w:hint="eastAsia" w:ascii="黑体" w:hAnsi="黑体" w:eastAsia="黑体" w:cs="黑体"/>
          <w:szCs w:val="28"/>
        </w:rPr>
        <w:t>联系方式：</w:t>
      </w:r>
    </w:p>
    <w:p>
      <w:pPr>
        <w:adjustRightInd w:val="0"/>
        <w:snapToGrid w:val="0"/>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联 系 人：</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 xml:space="preserve">   宋天恩 </w:t>
      </w:r>
      <w:r>
        <w:rPr>
          <w:rFonts w:hint="eastAsia" w:ascii="仿宋_GB2312" w:hAnsi="仿宋_GB2312" w:cs="仿宋_GB2312"/>
          <w:szCs w:val="28"/>
          <w:u w:val="single"/>
        </w:rPr>
        <w:t xml:space="preserve">  </w:t>
      </w:r>
    </w:p>
    <w:p>
      <w:pPr>
        <w:pStyle w:val="18"/>
        <w:snapToGrid w:val="0"/>
        <w:spacing w:after="0" w:line="480" w:lineRule="exact"/>
        <w:ind w:firstLine="560" w:firstLineChars="200"/>
        <w:rPr>
          <w:rFonts w:hint="default" w:ascii="仿宋_GB2312" w:hAnsi="仿宋_GB2312" w:eastAsia="仿宋_GB2312" w:cs="仿宋_GB2312"/>
          <w:szCs w:val="28"/>
          <w:u w:val="single"/>
          <w:lang w:val="en-US" w:eastAsia="zh-CN"/>
        </w:rPr>
      </w:pPr>
      <w:r>
        <w:rPr>
          <w:rFonts w:hint="eastAsia" w:ascii="仿宋_GB2312" w:hAnsi="仿宋_GB2312" w:eastAsia="仿宋_GB2312" w:cs="仿宋_GB2312"/>
          <w:kern w:val="2"/>
          <w:szCs w:val="28"/>
        </w:rPr>
        <w:t>联系电话：</w:t>
      </w:r>
      <w:r>
        <w:rPr>
          <w:rFonts w:hint="eastAsia" w:ascii="仿宋_GB2312" w:hAnsi="仿宋_GB2312" w:eastAsia="仿宋_GB2312" w:cs="仿宋_GB2312"/>
          <w:kern w:val="2"/>
          <w:szCs w:val="28"/>
          <w:u w:val="single"/>
          <w:lang w:val="en-US" w:eastAsia="zh-CN"/>
        </w:rPr>
        <w:t xml:space="preserve"> 18996338629  </w:t>
      </w:r>
      <w:r>
        <w:rPr>
          <w:rFonts w:hint="eastAsia" w:ascii="仿宋_GB2312" w:hAnsi="仿宋_GB2312" w:eastAsia="仿宋_GB2312" w:cs="仿宋_GB2312"/>
          <w:kern w:val="2"/>
          <w:szCs w:val="28"/>
          <w:lang w:val="en-US" w:eastAsia="zh-CN"/>
        </w:rPr>
        <w:t xml:space="preserve">   </w:t>
      </w:r>
    </w:p>
    <w:p>
      <w:pPr>
        <w:rPr>
          <w:rFonts w:ascii="仿宋_GB2312" w:hAnsi="仿宋_GB2312" w:eastAsia="仿宋_GB2312" w:cs="仿宋_GB2312"/>
          <w:szCs w:val="28"/>
          <w:u w:val="single"/>
        </w:rPr>
      </w:pPr>
      <w:r>
        <w:rPr>
          <w:rFonts w:hint="eastAsia" w:ascii="仿宋_GB2312" w:hAnsi="仿宋_GB2312" w:eastAsia="仿宋_GB2312" w:cs="仿宋_GB2312"/>
          <w:szCs w:val="28"/>
          <w:u w:val="single"/>
        </w:rPr>
        <w:br w:type="page"/>
      </w:r>
    </w:p>
    <w:p>
      <w:pPr>
        <w:pStyle w:val="3"/>
        <w:numPr>
          <w:ilvl w:val="0"/>
          <w:numId w:val="1"/>
        </w:numPr>
        <w:jc w:val="center"/>
        <w:rPr>
          <w:rFonts w:ascii="微软雅黑" w:hAnsi="微软雅黑" w:eastAsia="微软雅黑" w:cs="微软雅黑"/>
          <w:b w:val="0"/>
          <w:bCs w:val="0"/>
          <w:szCs w:val="28"/>
        </w:rPr>
      </w:pPr>
      <w:r>
        <w:rPr>
          <w:rFonts w:hint="eastAsia" w:ascii="微软雅黑" w:hAnsi="微软雅黑" w:eastAsia="微软雅黑" w:cs="微软雅黑"/>
          <w:b w:val="0"/>
          <w:bCs w:val="0"/>
          <w:szCs w:val="28"/>
        </w:rPr>
        <w:t>技术与商务</w:t>
      </w:r>
      <w:r>
        <w:rPr>
          <w:rFonts w:hint="eastAsia" w:ascii="微软雅黑" w:hAnsi="微软雅黑" w:eastAsia="微软雅黑" w:cs="微软雅黑"/>
          <w:b w:val="0"/>
          <w:bCs w:val="0"/>
          <w:szCs w:val="28"/>
          <w:lang w:val="en-US" w:eastAsia="zh-CN"/>
        </w:rPr>
        <w:t>要</w:t>
      </w:r>
      <w:r>
        <w:rPr>
          <w:rFonts w:hint="eastAsia" w:ascii="微软雅黑" w:hAnsi="微软雅黑" w:eastAsia="微软雅黑" w:cs="微软雅黑"/>
          <w:b w:val="0"/>
          <w:bCs w:val="0"/>
          <w:szCs w:val="28"/>
        </w:rPr>
        <w:t>求</w:t>
      </w:r>
    </w:p>
    <w:p>
      <w:pPr>
        <w:numPr>
          <w:ilvl w:val="0"/>
          <w:numId w:val="0"/>
        </w:numPr>
        <w:adjustRightInd w:val="0"/>
        <w:snapToGrid w:val="0"/>
        <w:spacing w:line="480" w:lineRule="exact"/>
        <w:ind w:firstLine="560" w:firstLineChars="200"/>
        <w:jc w:val="both"/>
        <w:rPr>
          <w:rFonts w:hint="eastAsia"/>
          <w:lang w:val="en-US" w:eastAsia="zh-CN"/>
        </w:rPr>
      </w:pPr>
      <w:r>
        <w:rPr>
          <w:rFonts w:hint="eastAsia" w:ascii="黑体" w:hAnsi="黑体" w:eastAsia="黑体" w:cs="黑体"/>
          <w:lang w:val="en-US" w:eastAsia="zh-CN"/>
        </w:rPr>
        <w:t>一、</w:t>
      </w:r>
      <w:r>
        <w:rPr>
          <w:rFonts w:hint="eastAsia" w:ascii="黑体" w:hAnsi="黑体" w:eastAsia="黑体" w:cs="黑体"/>
        </w:rPr>
        <w:t>技术</w:t>
      </w:r>
      <w:r>
        <w:rPr>
          <w:rFonts w:hint="eastAsia" w:ascii="黑体" w:hAnsi="黑体" w:eastAsia="黑体" w:cs="黑体"/>
          <w:lang w:val="en-US" w:eastAsia="zh-CN"/>
        </w:rPr>
        <w:t>要求</w:t>
      </w:r>
    </w:p>
    <w:p>
      <w:pPr>
        <w:numPr>
          <w:ilvl w:val="0"/>
          <w:numId w:val="0"/>
        </w:numPr>
        <w:ind w:firstLine="640" w:firstLineChars="200"/>
        <w:jc w:val="left"/>
        <w:rPr>
          <w:rFonts w:hint="default"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1.设计方案要求：因地制宜、美观大方，对现场自然环境不得有不可逆破坏性影响。</w:t>
      </w:r>
    </w:p>
    <w:p>
      <w:pPr>
        <w:numPr>
          <w:ilvl w:val="0"/>
          <w:numId w:val="0"/>
        </w:numPr>
        <w:ind w:firstLine="640" w:firstLineChars="20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2.需人工清除施工现场原有的草皮，拆除高低杠、双杠等障碍物。</w:t>
      </w:r>
    </w:p>
    <w:p>
      <w:pPr>
        <w:pStyle w:val="2"/>
        <w:numPr>
          <w:ilvl w:val="0"/>
          <w:numId w:val="0"/>
        </w:numPr>
        <w:ind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3.工艺要求：分层铺筑，分层厚度偏差+-50mm。地基范围内不应留有孔洞，要夯打密实，每层压实系数必须需达到设计要求。</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4.用料要求：材质环保无污染，丙烯酸不得检测出有害物质。有良好的户外适应性，防水、抗锈、抗紫外线、经久耐磨、耐酸碱，符合GB36246-2018、GB/T14833-2020等相关国家质量标准。</w:t>
      </w:r>
    </w:p>
    <w:p>
      <w:pPr>
        <w:pStyle w:val="2"/>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5.碎石基垫要求：紧韧耐磨，具有良好的透水性。抗压强度不小于80MPA，压碎值应小于35%，软弱颗粒小于5%，含泥量小于2%，碎石规格为30-70mm，嵌缝料为15-25mm。摊铺平整度不超出+-15mm。压实度大于95%。</w:t>
      </w:r>
    </w:p>
    <w:p>
      <w:pPr>
        <w:pStyle w:val="2"/>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6.混凝土按照C25标准严格配比，具备优良的抗压强度和耐久性，不同品种严禁混用。控制好坡度，横坡度为0.5%。浇筑好后平整度达到98%以上。浇筑完成后定期保湿养生。</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7.胶粒层须弹性优良，铺设平整，填充无起泡、脱层。</w:t>
      </w:r>
    </w:p>
    <w:p>
      <w:pPr>
        <w:pStyle w:val="2"/>
        <w:ind w:firstLine="640" w:firstLineChars="200"/>
        <w:rPr>
          <w:rFonts w:hint="default"/>
          <w:lang w:val="en-US" w:eastAsia="zh-CN"/>
        </w:rPr>
      </w:pPr>
      <w:r>
        <w:rPr>
          <w:rFonts w:hint="eastAsia" w:ascii="仿宋_GB2312" w:hAnsi="仿宋_GB2312" w:eastAsia="仿宋_GB2312" w:cs="仿宋_GB2312"/>
          <w:sz w:val="32"/>
          <w:szCs w:val="32"/>
          <w:lang w:val="en-US" w:eastAsia="zh-CN"/>
        </w:rPr>
        <w:t>8.涂色要求美观整洁，涂料安全无害、耐久、抗紫外线，面层防滑、耐磨，确保3年以上无明显色变。</w:t>
      </w:r>
    </w:p>
    <w:p>
      <w:pPr>
        <w:pStyle w:val="2"/>
        <w:ind w:firstLine="640" w:firstLineChars="200"/>
        <w:rPr>
          <w:rFonts w:hint="default"/>
          <w:lang w:val="en-US" w:eastAsia="zh-CN"/>
        </w:rPr>
      </w:pPr>
      <w:r>
        <w:rPr>
          <w:rFonts w:hint="eastAsia" w:ascii="仿宋_GB2312" w:hAnsi="仿宋_GB2312" w:eastAsia="仿宋_GB2312" w:cs="仿宋_GB2312"/>
          <w:sz w:val="32"/>
          <w:szCs w:val="32"/>
          <w:lang w:val="en-US" w:eastAsia="zh-CN"/>
        </w:rPr>
        <w:t>9.围网框架立杆、横杆等须采用优质钢材，涂防锈底漆不少于两层，户外磁漆不少于两层，确保5年内不褪色、不掉漆、不生锈。网片材质要求防锈、防霉、防水、抗紫外线、坚韧、可塑性高，确保5年内不生锈、不掉色、不龟裂。螺丝等配件需做防水、防锈处理，有良好的抗紫外线性能。</w:t>
      </w:r>
    </w:p>
    <w:p>
      <w:pPr>
        <w:pStyle w:val="18"/>
        <w:ind w:firstLine="640" w:firstLineChars="200"/>
        <w:rPr>
          <w:rFonts w:hint="default"/>
          <w:lang w:val="en-US" w:eastAsia="zh-CN"/>
        </w:rPr>
      </w:pPr>
      <w:r>
        <w:rPr>
          <w:rFonts w:hint="eastAsia" w:ascii="仿宋_GB2312" w:hAnsi="仿宋_GB2312" w:eastAsia="仿宋_GB2312" w:cs="仿宋_GB2312"/>
          <w:sz w:val="32"/>
          <w:szCs w:val="32"/>
          <w:lang w:val="en-US" w:eastAsia="zh-CN"/>
        </w:rPr>
        <w:t>10.操作要求：挖掘机、打夯机、压路机等工程设备、器械的操作必须严格遵守国家现行标准《建筑器械使用安全技术规程》。设立健全的监督管理制度，定期组织安全生产、文明施工检查，杜绝事故隐患。施工现场设立警告标志、围栏等，防止闲杂人等进入，工作人员进入现场必须佩带安全帽。电气设备、危险物、易燃物等派专人看管，并设置警告标识。</w:t>
      </w:r>
    </w:p>
    <w:p>
      <w:pPr>
        <w:numPr>
          <w:ilvl w:val="0"/>
          <w:numId w:val="0"/>
        </w:numPr>
        <w:adjustRightInd w:val="0"/>
        <w:snapToGrid w:val="0"/>
        <w:spacing w:line="480" w:lineRule="exact"/>
        <w:ind w:firstLine="560" w:firstLineChars="200"/>
        <w:rPr>
          <w:rFonts w:ascii="黑体" w:hAnsi="黑体" w:eastAsia="黑体" w:cs="黑体"/>
        </w:rPr>
      </w:pPr>
      <w:r>
        <w:rPr>
          <w:rFonts w:hint="eastAsia" w:ascii="黑体" w:hAnsi="黑体" w:eastAsia="黑体" w:cs="黑体"/>
          <w:lang w:val="en-US" w:eastAsia="zh-CN"/>
        </w:rPr>
        <w:t>二、</w:t>
      </w:r>
      <w:r>
        <w:rPr>
          <w:rFonts w:hint="eastAsia" w:ascii="黑体" w:hAnsi="黑体" w:eastAsia="黑体" w:cs="黑体"/>
        </w:rPr>
        <w:t>商务需求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pPr>
        <w:snapToGrid w:val="0"/>
        <w:spacing w:line="480" w:lineRule="exact"/>
        <w:ind w:firstLine="560" w:firstLineChars="200"/>
        <w:jc w:val="left"/>
        <w:rPr>
          <w:rFonts w:eastAsia="仿宋_GB2312"/>
          <w:szCs w:val="28"/>
        </w:rPr>
      </w:pPr>
      <w:r>
        <w:rPr>
          <w:rFonts w:hint="eastAsia" w:eastAsia="仿宋_GB2312"/>
          <w:szCs w:val="28"/>
        </w:rPr>
        <w:t>1.实施时间：</w:t>
      </w:r>
      <w:r>
        <w:rPr>
          <w:rFonts w:hint="eastAsia" w:eastAsia="仿宋_GB2312"/>
          <w:szCs w:val="28"/>
          <w:lang w:eastAsia="zh-CN"/>
        </w:rPr>
        <w:t>中标人</w:t>
      </w:r>
      <w:r>
        <w:rPr>
          <w:rFonts w:hint="eastAsia" w:eastAsia="仿宋_GB2312"/>
          <w:szCs w:val="28"/>
        </w:rPr>
        <w:t>应在采购协议生效后</w:t>
      </w:r>
      <w:r>
        <w:rPr>
          <w:rFonts w:hint="eastAsia" w:eastAsia="仿宋_GB2312"/>
          <w:szCs w:val="28"/>
          <w:lang w:val="en-US" w:eastAsia="zh-CN"/>
        </w:rPr>
        <w:t>90天</w:t>
      </w:r>
      <w:r>
        <w:rPr>
          <w:rFonts w:hint="eastAsia" w:eastAsia="仿宋_GB2312"/>
          <w:szCs w:val="28"/>
        </w:rPr>
        <w:t>内交付</w:t>
      </w:r>
      <w:r>
        <w:rPr>
          <w:rFonts w:hint="eastAsia" w:eastAsia="仿宋_GB2312"/>
          <w:szCs w:val="28"/>
          <w:lang w:val="en-US" w:eastAsia="zh-CN"/>
        </w:rPr>
        <w:t>工程</w:t>
      </w:r>
      <w:r>
        <w:rPr>
          <w:rFonts w:hint="eastAsia" w:eastAsia="仿宋_GB2312"/>
          <w:szCs w:val="28"/>
        </w:rPr>
        <w:t>。</w:t>
      </w:r>
    </w:p>
    <w:p>
      <w:pPr>
        <w:snapToGrid w:val="0"/>
        <w:spacing w:line="480" w:lineRule="exact"/>
        <w:ind w:firstLine="560" w:firstLineChars="200"/>
        <w:jc w:val="left"/>
        <w:rPr>
          <w:rFonts w:eastAsia="仿宋_GB2312"/>
          <w:szCs w:val="28"/>
        </w:rPr>
      </w:pPr>
      <w:r>
        <w:rPr>
          <w:rFonts w:hint="eastAsia" w:eastAsia="仿宋_GB2312"/>
          <w:szCs w:val="28"/>
        </w:rPr>
        <w:t>2.实施地点：</w:t>
      </w:r>
      <w:r>
        <w:rPr>
          <w:rFonts w:hint="eastAsia" w:eastAsia="仿宋_GB2312"/>
          <w:szCs w:val="28"/>
          <w:lang w:val="en-US" w:eastAsia="zh-CN"/>
        </w:rPr>
        <w:t>按招标人要求在招标区域指定位置施工</w:t>
      </w:r>
      <w:r>
        <w:rPr>
          <w:rFonts w:hint="eastAsia" w:eastAsia="仿宋_GB2312"/>
          <w:szCs w:val="28"/>
        </w:rPr>
        <w:t>。</w:t>
      </w:r>
    </w:p>
    <w:p>
      <w:pPr>
        <w:snapToGrid w:val="0"/>
        <w:spacing w:line="480" w:lineRule="exact"/>
        <w:ind w:firstLine="560" w:firstLineChars="200"/>
        <w:jc w:val="left"/>
        <w:rPr>
          <w:rFonts w:hint="eastAsia" w:eastAsia="仿宋_GB2312"/>
          <w:szCs w:val="28"/>
          <w:lang w:val="en-US" w:eastAsia="zh-CN"/>
        </w:rPr>
      </w:pPr>
      <w:r>
        <w:rPr>
          <w:rFonts w:hint="eastAsia" w:eastAsia="仿宋_GB2312"/>
          <w:szCs w:val="28"/>
        </w:rPr>
        <w:t>3.实施方式：</w:t>
      </w:r>
      <w:r>
        <w:rPr>
          <w:rFonts w:hint="eastAsia" w:eastAsia="仿宋_GB2312"/>
          <w:szCs w:val="28"/>
          <w:lang w:val="en-US" w:eastAsia="zh-CN"/>
        </w:rPr>
        <w:t>招标人提供场地，由投标人自行整备现场建造网球场各面层、安装围网、刷漆、建造排水沟等。</w:t>
      </w:r>
    </w:p>
    <w:p>
      <w:pPr>
        <w:snapToGrid w:val="0"/>
        <w:spacing w:line="480" w:lineRule="exact"/>
        <w:ind w:firstLine="560" w:firstLineChars="200"/>
        <w:jc w:val="left"/>
        <w:rPr>
          <w:rFonts w:hint="default" w:ascii="Times New Roman" w:hAnsi="Times New Roman" w:eastAsia="仿宋_GB2312" w:cs="Times New Roman"/>
          <w:szCs w:val="28"/>
          <w:lang w:val="en-US" w:eastAsia="zh-CN"/>
        </w:rPr>
      </w:pPr>
      <w:r>
        <w:rPr>
          <w:rFonts w:hint="eastAsia" w:eastAsia="仿宋_GB2312"/>
          <w:szCs w:val="28"/>
          <w:lang w:val="en-US" w:eastAsia="zh-CN"/>
        </w:rPr>
        <w:t>4.安装要求：</w:t>
      </w:r>
      <w:r>
        <w:rPr>
          <w:rFonts w:hint="eastAsia" w:ascii="Times New Roman" w:hAnsi="Times New Roman" w:eastAsia="仿宋_GB2312" w:cs="Times New Roman"/>
          <w:szCs w:val="28"/>
          <w:lang w:val="en-US" w:eastAsia="zh-CN"/>
        </w:rPr>
        <w:t>中标人须保证建造网球场所用各部分材料、构件在运输过程中有可靠的保护措施。须保证施工所用机械器具的性能及安全。须为施工人员配备劳保用品。须保证施工操作规范，对附近环境没有破坏性影响。工程所用材料必须符合国家安全标准及质量标准。材料须存放在专门区域，有毒、腐蚀性溶剂等材料须单独密封存放，派专人看管，并设置警告标识。竣工时清理施工现场，并回收剩余材料。</w:t>
      </w:r>
    </w:p>
    <w:p>
      <w:pPr>
        <w:snapToGrid w:val="0"/>
        <w:spacing w:line="480" w:lineRule="exact"/>
        <w:ind w:firstLine="560" w:firstLineChars="200"/>
        <w:jc w:val="left"/>
        <w:rPr>
          <w:rFonts w:hint="eastAsia" w:eastAsia="仿宋_GB2312"/>
          <w:szCs w:val="28"/>
        </w:rPr>
      </w:pPr>
      <w:r>
        <w:rPr>
          <w:rFonts w:hint="eastAsia" w:eastAsia="仿宋_GB2312"/>
          <w:szCs w:val="28"/>
          <w:lang w:val="en-US" w:eastAsia="zh-CN"/>
        </w:rPr>
        <w:t>5.交付方式：中标人</w:t>
      </w:r>
      <w:r>
        <w:rPr>
          <w:rFonts w:hint="eastAsia" w:eastAsia="仿宋_GB2312"/>
          <w:szCs w:val="28"/>
        </w:rPr>
        <w:t>按照采购协议要求</w:t>
      </w:r>
      <w:r>
        <w:rPr>
          <w:rFonts w:hint="eastAsia" w:eastAsia="仿宋_GB2312"/>
          <w:szCs w:val="28"/>
          <w:lang w:val="en-US" w:eastAsia="zh-CN"/>
        </w:rPr>
        <w:t>完成材料运输及工程施工</w:t>
      </w:r>
      <w:r>
        <w:rPr>
          <w:rFonts w:hint="eastAsia" w:eastAsia="仿宋_GB2312"/>
          <w:szCs w:val="28"/>
        </w:rPr>
        <w:t>，经</w:t>
      </w:r>
      <w:r>
        <w:rPr>
          <w:rFonts w:hint="eastAsia" w:eastAsia="仿宋_GB2312"/>
          <w:szCs w:val="28"/>
          <w:lang w:val="en-US" w:eastAsia="zh-CN"/>
        </w:rPr>
        <w:t>检验</w:t>
      </w:r>
      <w:r>
        <w:rPr>
          <w:rFonts w:hint="eastAsia" w:eastAsia="仿宋_GB2312"/>
          <w:szCs w:val="28"/>
        </w:rPr>
        <w:t>合格后双方签字验收</w:t>
      </w:r>
      <w:r>
        <w:rPr>
          <w:rFonts w:hint="eastAsia" w:eastAsia="仿宋_GB2312"/>
          <w:szCs w:val="28"/>
          <w:lang w:eastAsia="zh-CN"/>
        </w:rPr>
        <w:t>，</w:t>
      </w:r>
      <w:r>
        <w:rPr>
          <w:rFonts w:hint="eastAsia" w:eastAsia="仿宋_GB2312"/>
          <w:szCs w:val="28"/>
          <w:lang w:val="en-US" w:eastAsia="zh-CN"/>
        </w:rPr>
        <w:t>并在项目验收时将网球场工程全部有关施工方案、图纸、清单等资料交付采购人。</w:t>
      </w:r>
    </w:p>
    <w:p>
      <w:pPr>
        <w:adjustRightInd w:val="0"/>
        <w:snapToGrid w:val="0"/>
        <w:spacing w:line="480" w:lineRule="exact"/>
        <w:ind w:firstLine="560" w:firstLineChars="200"/>
        <w:rPr>
          <w:rFonts w:hint="default" w:ascii="楷体_GB2312" w:hAnsi="楷体_GB2312" w:eastAsia="楷体_GB2312" w:cs="楷体_GB2312"/>
          <w:szCs w:val="28"/>
          <w:lang w:val="en-US" w:eastAsia="zh-CN"/>
        </w:rPr>
      </w:pPr>
      <w:r>
        <w:rPr>
          <w:rFonts w:hint="eastAsia" w:ascii="楷体_GB2312" w:hAnsi="楷体_GB2312" w:eastAsia="楷体_GB2312" w:cs="楷体_GB2312"/>
          <w:szCs w:val="28"/>
        </w:rPr>
        <w:t>（二）</w:t>
      </w:r>
      <w:r>
        <w:rPr>
          <w:rFonts w:hint="eastAsia" w:ascii="楷体_GB2312" w:hAnsi="楷体_GB2312" w:eastAsia="楷体_GB2312" w:cs="楷体_GB2312"/>
          <w:szCs w:val="28"/>
          <w:lang w:val="en-US" w:eastAsia="zh-CN"/>
        </w:rPr>
        <w:t>质量要求</w:t>
      </w:r>
    </w:p>
    <w:p>
      <w:pPr>
        <w:adjustRightInd w:val="0"/>
        <w:snapToGrid w:val="0"/>
        <w:spacing w:line="480" w:lineRule="exact"/>
        <w:ind w:firstLine="560" w:firstLineChars="200"/>
        <w:rPr>
          <w:rFonts w:hint="eastAsia" w:ascii="楷体_GB2312" w:hAnsi="楷体_GB2312" w:eastAsia="楷体_GB2312" w:cs="楷体_GB2312"/>
          <w:szCs w:val="28"/>
          <w:lang w:val="en-US" w:eastAsia="zh-CN"/>
        </w:rPr>
      </w:pPr>
      <w:r>
        <w:rPr>
          <w:rFonts w:hint="eastAsia" w:ascii="楷体_GB2312" w:hAnsi="楷体_GB2312" w:eastAsia="楷体_GB2312" w:cs="楷体_GB2312"/>
          <w:szCs w:val="28"/>
          <w:lang w:val="en-US" w:eastAsia="zh-CN"/>
        </w:rPr>
        <w:t>1.中标人需保证此项目所有用材为全新建材，具备出厂合格证，符合国家质量标准。</w:t>
      </w:r>
    </w:p>
    <w:p>
      <w:pPr>
        <w:adjustRightInd w:val="0"/>
        <w:snapToGrid w:val="0"/>
        <w:spacing w:line="480" w:lineRule="exact"/>
        <w:ind w:firstLine="560" w:firstLineChars="200"/>
        <w:rPr>
          <w:rFonts w:hint="eastAsia" w:ascii="楷体_GB2312" w:hAnsi="楷体_GB2312" w:eastAsia="楷体_GB2312" w:cs="楷体_GB2312"/>
          <w:szCs w:val="28"/>
          <w:lang w:val="en-US" w:eastAsia="zh-CN"/>
        </w:rPr>
      </w:pPr>
      <w:r>
        <w:rPr>
          <w:rFonts w:hint="eastAsia" w:ascii="楷体_GB2312" w:hAnsi="楷体_GB2312" w:eastAsia="楷体_GB2312" w:cs="楷体_GB2312"/>
          <w:szCs w:val="28"/>
          <w:lang w:val="en-US" w:eastAsia="zh-CN"/>
        </w:rPr>
        <w:t>2.中标人提供的材料属于国家规定“三包”范围的，其产品质量保证期不得低于“三包”规定。</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w:t>
      </w:r>
      <w:r>
        <w:rPr>
          <w:rFonts w:hint="eastAsia" w:ascii="楷体_GB2312" w:hAnsi="楷体_GB2312" w:eastAsia="楷体_GB2312" w:cs="楷体_GB2312"/>
          <w:szCs w:val="28"/>
          <w:lang w:val="en-US" w:eastAsia="zh-CN"/>
        </w:rPr>
        <w:t>三</w:t>
      </w:r>
      <w:r>
        <w:rPr>
          <w:rFonts w:hint="eastAsia" w:ascii="楷体_GB2312" w:hAnsi="楷体_GB2312" w:eastAsia="楷体_GB2312" w:cs="楷体_GB2312"/>
          <w:szCs w:val="28"/>
        </w:rPr>
        <w:t>）售后服务</w:t>
      </w:r>
    </w:p>
    <w:p>
      <w:pPr>
        <w:snapToGrid w:val="0"/>
        <w:spacing w:line="480" w:lineRule="exact"/>
        <w:ind w:firstLine="560" w:firstLineChars="200"/>
        <w:jc w:val="left"/>
        <w:rPr>
          <w:rFonts w:hint="eastAsia" w:eastAsia="仿宋_GB2312"/>
          <w:szCs w:val="28"/>
        </w:rPr>
      </w:pPr>
      <w:r>
        <w:rPr>
          <w:rFonts w:hint="eastAsia" w:eastAsia="仿宋_GB2312"/>
          <w:szCs w:val="28"/>
        </w:rPr>
        <w:t>1.</w:t>
      </w:r>
      <w:r>
        <w:rPr>
          <w:rFonts w:hint="eastAsia" w:eastAsia="仿宋_GB2312"/>
          <w:szCs w:val="28"/>
          <w:lang w:val="en-US" w:eastAsia="zh-CN"/>
        </w:rPr>
        <w:t>设备自</w:t>
      </w:r>
      <w:r>
        <w:rPr>
          <w:rFonts w:hint="eastAsia" w:eastAsia="仿宋_GB2312"/>
          <w:szCs w:val="28"/>
        </w:rPr>
        <w:t>验收合格之日起，</w:t>
      </w:r>
      <w:r>
        <w:rPr>
          <w:rFonts w:hint="eastAsia" w:eastAsia="仿宋_GB2312"/>
          <w:szCs w:val="28"/>
          <w:lang w:eastAsia="zh-CN"/>
        </w:rPr>
        <w:t>中标人</w:t>
      </w:r>
      <w:r>
        <w:rPr>
          <w:rFonts w:hint="eastAsia" w:eastAsia="仿宋_GB2312"/>
          <w:szCs w:val="28"/>
        </w:rPr>
        <w:t>提供</w:t>
      </w:r>
      <w:r>
        <w:rPr>
          <w:rFonts w:hint="eastAsia" w:eastAsia="仿宋_GB2312"/>
          <w:szCs w:val="28"/>
          <w:lang w:val="en-US" w:eastAsia="zh-CN"/>
        </w:rPr>
        <w:t>5</w:t>
      </w:r>
      <w:r>
        <w:rPr>
          <w:rFonts w:hint="eastAsia" w:eastAsia="仿宋_GB2312"/>
          <w:szCs w:val="28"/>
        </w:rPr>
        <w:t>年质保期（国家标准高于</w:t>
      </w:r>
      <w:r>
        <w:rPr>
          <w:rFonts w:hint="eastAsia" w:eastAsia="仿宋_GB2312"/>
          <w:szCs w:val="28"/>
          <w:lang w:val="en-US" w:eastAsia="zh-CN"/>
        </w:rPr>
        <w:t>5</w:t>
      </w:r>
      <w:r>
        <w:rPr>
          <w:rFonts w:hint="eastAsia" w:eastAsia="仿宋_GB2312"/>
          <w:szCs w:val="28"/>
        </w:rPr>
        <w:t>年的按国家标准执行），质保期内</w:t>
      </w:r>
      <w:r>
        <w:rPr>
          <w:rFonts w:hint="eastAsia" w:eastAsia="仿宋_GB2312"/>
          <w:szCs w:val="28"/>
          <w:lang w:val="en-US" w:eastAsia="zh-CN"/>
        </w:rPr>
        <w:t>维保维修的所有材料及配件一律由中标人免费提供（人为因素损坏按成本计算）</w:t>
      </w:r>
      <w:r>
        <w:rPr>
          <w:rFonts w:hint="eastAsia" w:eastAsia="仿宋_GB2312"/>
          <w:szCs w:val="28"/>
        </w:rPr>
        <w:t>。</w:t>
      </w:r>
    </w:p>
    <w:p>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val="en-US" w:eastAsia="zh-CN"/>
        </w:rPr>
        <w:t>2.</w:t>
      </w:r>
      <w:r>
        <w:rPr>
          <w:rFonts w:hint="eastAsia" w:eastAsia="仿宋_GB2312"/>
          <w:szCs w:val="28"/>
        </w:rPr>
        <w:t>质保期内，若标的物发生故障，</w:t>
      </w:r>
      <w:r>
        <w:rPr>
          <w:rFonts w:hint="eastAsia" w:eastAsia="仿宋_GB2312"/>
          <w:szCs w:val="28"/>
          <w:lang w:eastAsia="zh-CN"/>
        </w:rPr>
        <w:t>中标人</w:t>
      </w:r>
      <w:r>
        <w:rPr>
          <w:rFonts w:hint="eastAsia" w:eastAsia="仿宋_GB2312"/>
          <w:szCs w:val="28"/>
        </w:rPr>
        <w:t>接到甲方通知后</w:t>
      </w:r>
      <w:r>
        <w:rPr>
          <w:rFonts w:hint="eastAsia" w:eastAsia="仿宋_GB2312"/>
          <w:szCs w:val="28"/>
          <w:lang w:val="en-US" w:eastAsia="zh-CN"/>
        </w:rPr>
        <w:t>应在</w:t>
      </w:r>
      <w:r>
        <w:rPr>
          <w:rFonts w:hint="eastAsia" w:eastAsia="仿宋_GB2312"/>
          <w:szCs w:val="28"/>
          <w:u w:val="single"/>
          <w:lang w:val="en-US" w:eastAsia="zh-CN"/>
        </w:rPr>
        <w:t>2</w:t>
      </w:r>
      <w:r>
        <w:rPr>
          <w:rFonts w:hint="eastAsia" w:eastAsia="仿宋_GB2312"/>
          <w:szCs w:val="28"/>
          <w:lang w:val="en-US" w:eastAsia="zh-CN"/>
        </w:rPr>
        <w:t>小时内响应，</w:t>
      </w:r>
      <w:r>
        <w:rPr>
          <w:rFonts w:hint="eastAsia" w:eastAsia="仿宋_GB2312"/>
          <w:szCs w:val="28"/>
          <w:u w:val="single"/>
          <w:lang w:val="en-US" w:eastAsia="zh-CN"/>
        </w:rPr>
        <w:t>24</w:t>
      </w:r>
      <w:r>
        <w:rPr>
          <w:rFonts w:hint="eastAsia" w:eastAsia="仿宋_GB2312"/>
          <w:szCs w:val="28"/>
          <w:lang w:val="en-US" w:eastAsia="zh-CN"/>
        </w:rPr>
        <w:t>小时内</w:t>
      </w:r>
      <w:r>
        <w:rPr>
          <w:rFonts w:hint="eastAsia" w:eastAsia="仿宋_GB2312"/>
          <w:szCs w:val="28"/>
        </w:rPr>
        <w:t>到场修复</w:t>
      </w:r>
      <w:r>
        <w:rPr>
          <w:rFonts w:hint="eastAsia" w:eastAsia="仿宋_GB2312"/>
          <w:szCs w:val="28"/>
          <w:lang w:eastAsia="zh-CN"/>
        </w:rPr>
        <w:t>。</w:t>
      </w:r>
      <w:r>
        <w:rPr>
          <w:rFonts w:hint="eastAsia" w:eastAsia="仿宋_GB2312"/>
          <w:szCs w:val="28"/>
          <w:lang w:val="en-US" w:eastAsia="zh-CN"/>
        </w:rPr>
        <w:t>由中标人将设备、材料送至采购方指定地点进行安装，保证采购人正常使用，且达到国家规定质量标准。运输和安装费用由中标人承担。</w:t>
      </w:r>
    </w:p>
    <w:p>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val="en-US" w:eastAsia="zh-CN"/>
        </w:rPr>
        <w:t>3</w:t>
      </w:r>
      <w:r>
        <w:rPr>
          <w:rFonts w:hint="eastAsia" w:eastAsia="仿宋_GB2312"/>
          <w:szCs w:val="28"/>
        </w:rPr>
        <w:t>.超过保修期的产品出现质量问题，</w:t>
      </w:r>
      <w:r>
        <w:rPr>
          <w:rFonts w:hint="eastAsia" w:eastAsia="仿宋_GB2312"/>
          <w:szCs w:val="28"/>
          <w:lang w:eastAsia="zh-CN"/>
        </w:rPr>
        <w:t>中标人</w:t>
      </w:r>
      <w:r>
        <w:rPr>
          <w:rFonts w:hint="eastAsia" w:eastAsia="仿宋_GB2312"/>
          <w:szCs w:val="28"/>
        </w:rPr>
        <w:t>只向甲方收取成本费。</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w:t>
      </w:r>
      <w:r>
        <w:rPr>
          <w:rFonts w:hint="eastAsia" w:ascii="楷体_GB2312" w:hAnsi="楷体_GB2312" w:eastAsia="楷体_GB2312" w:cs="楷体_GB2312"/>
          <w:szCs w:val="28"/>
          <w:lang w:val="en-US" w:eastAsia="zh-CN"/>
        </w:rPr>
        <w:t>四</w:t>
      </w:r>
      <w:r>
        <w:rPr>
          <w:rFonts w:hint="eastAsia" w:ascii="楷体_GB2312" w:hAnsi="楷体_GB2312" w:eastAsia="楷体_GB2312" w:cs="楷体_GB2312"/>
          <w:szCs w:val="28"/>
        </w:rPr>
        <w:t>）付款方式</w:t>
      </w:r>
    </w:p>
    <w:p>
      <w:pPr>
        <w:snapToGrid w:val="0"/>
        <w:spacing w:line="480" w:lineRule="exact"/>
        <w:ind w:firstLine="560" w:firstLineChars="200"/>
        <w:jc w:val="left"/>
        <w:rPr>
          <w:rFonts w:eastAsia="仿宋_GB2312"/>
          <w:szCs w:val="28"/>
        </w:rPr>
      </w:pPr>
      <w:r>
        <w:rPr>
          <w:rFonts w:hint="eastAsia" w:eastAsia="仿宋_GB2312"/>
          <w:szCs w:val="28"/>
          <w:lang w:val="en-US" w:eastAsia="zh-CN"/>
        </w:rPr>
        <w:t>工程竣工后，</w:t>
      </w:r>
      <w:r>
        <w:rPr>
          <w:rFonts w:hint="eastAsia" w:eastAsia="仿宋_GB2312"/>
          <w:szCs w:val="28"/>
        </w:rPr>
        <w:t>经采购人验收合格，</w:t>
      </w:r>
      <w:r>
        <w:rPr>
          <w:rFonts w:hint="eastAsia" w:eastAsia="仿宋_GB2312"/>
          <w:szCs w:val="28"/>
          <w:lang w:val="en-US" w:eastAsia="zh-CN"/>
        </w:rPr>
        <w:t>双方</w:t>
      </w:r>
      <w:r>
        <w:rPr>
          <w:rFonts w:hint="eastAsia" w:eastAsia="仿宋_GB2312"/>
          <w:szCs w:val="28"/>
        </w:rPr>
        <w:t>签字确认后支付协议全款。</w:t>
      </w:r>
    </w:p>
    <w:p>
      <w:pPr>
        <w:adjustRightInd w:val="0"/>
        <w:snapToGrid w:val="0"/>
        <w:spacing w:line="480" w:lineRule="exact"/>
        <w:ind w:firstLine="560" w:firstLineChars="200"/>
        <w:rPr>
          <w:rFonts w:hint="default" w:ascii="楷体_GB2312" w:hAnsi="楷体_GB2312" w:eastAsia="楷体_GB2312" w:cs="楷体_GB2312"/>
          <w:szCs w:val="28"/>
          <w:lang w:val="en-US" w:eastAsia="zh-CN"/>
        </w:rPr>
      </w:pPr>
      <w:r>
        <w:rPr>
          <w:rFonts w:hint="eastAsia" w:ascii="楷体_GB2312" w:hAnsi="楷体_GB2312" w:eastAsia="楷体_GB2312" w:cs="楷体_GB2312"/>
          <w:szCs w:val="28"/>
        </w:rPr>
        <w:t>（</w:t>
      </w:r>
      <w:r>
        <w:rPr>
          <w:rFonts w:hint="eastAsia" w:ascii="楷体_GB2312" w:hAnsi="楷体_GB2312" w:eastAsia="楷体_GB2312" w:cs="楷体_GB2312"/>
          <w:szCs w:val="28"/>
          <w:lang w:val="en-US" w:eastAsia="zh-CN"/>
        </w:rPr>
        <w:t>五</w:t>
      </w:r>
      <w:r>
        <w:rPr>
          <w:rFonts w:hint="eastAsia" w:ascii="楷体_GB2312" w:hAnsi="楷体_GB2312" w:eastAsia="楷体_GB2312" w:cs="楷体_GB2312"/>
          <w:szCs w:val="28"/>
        </w:rPr>
        <w:t>）</w:t>
      </w:r>
      <w:r>
        <w:rPr>
          <w:rFonts w:hint="eastAsia" w:ascii="楷体_GB2312" w:hAnsi="楷体_GB2312" w:eastAsia="楷体_GB2312" w:cs="楷体_GB2312"/>
          <w:szCs w:val="28"/>
          <w:lang w:val="en-US" w:eastAsia="zh-CN"/>
        </w:rPr>
        <w:t>侵权责任</w:t>
      </w:r>
    </w:p>
    <w:p>
      <w:pPr>
        <w:snapToGrid w:val="0"/>
        <w:spacing w:line="480" w:lineRule="exact"/>
        <w:ind w:firstLine="560" w:firstLineChars="200"/>
        <w:jc w:val="left"/>
        <w:rPr>
          <w:rFonts w:eastAsia="仿宋_GB2312"/>
          <w:szCs w:val="28"/>
        </w:rPr>
      </w:pPr>
      <w:r>
        <w:rPr>
          <w:rFonts w:hint="eastAsia" w:eastAsia="仿宋_GB2312"/>
          <w:szCs w:val="28"/>
          <w:lang w:eastAsia="zh-CN"/>
        </w:rPr>
        <w:t>中标人</w:t>
      </w:r>
      <w:r>
        <w:rPr>
          <w:rFonts w:hint="eastAsia" w:eastAsia="仿宋_GB2312"/>
          <w:szCs w:val="28"/>
          <w:lang w:val="en-US" w:eastAsia="zh-CN"/>
        </w:rPr>
        <w:t>须</w:t>
      </w:r>
      <w:r>
        <w:rPr>
          <w:rFonts w:hint="eastAsia" w:eastAsia="仿宋_GB2312"/>
          <w:szCs w:val="28"/>
        </w:rPr>
        <w:t>保证</w:t>
      </w:r>
      <w:r>
        <w:rPr>
          <w:rFonts w:hint="eastAsia" w:eastAsia="仿宋_GB2312"/>
          <w:szCs w:val="28"/>
          <w:lang w:val="en-US" w:eastAsia="zh-CN"/>
        </w:rPr>
        <w:t>本项目使用的材料</w:t>
      </w:r>
      <w:r>
        <w:rPr>
          <w:rFonts w:hint="eastAsia" w:eastAsia="仿宋_GB2312"/>
          <w:szCs w:val="28"/>
        </w:rPr>
        <w:t>为合法所</w:t>
      </w:r>
      <w:r>
        <w:rPr>
          <w:rFonts w:hint="eastAsia" w:eastAsia="仿宋_GB2312"/>
          <w:szCs w:val="28"/>
          <w:lang w:val="en-US" w:eastAsia="zh-CN"/>
        </w:rPr>
        <w:t>得</w:t>
      </w:r>
      <w:r>
        <w:rPr>
          <w:rFonts w:hint="eastAsia" w:eastAsia="仿宋_GB2312"/>
          <w:szCs w:val="28"/>
        </w:rPr>
        <w:t>，</w:t>
      </w:r>
      <w:r>
        <w:rPr>
          <w:rFonts w:hint="eastAsia" w:eastAsia="仿宋_GB2312"/>
          <w:szCs w:val="28"/>
          <w:lang w:eastAsia="zh-CN"/>
        </w:rPr>
        <w:t>中标人</w:t>
      </w:r>
      <w:r>
        <w:rPr>
          <w:rFonts w:hint="eastAsia" w:eastAsia="仿宋_GB2312"/>
          <w:szCs w:val="28"/>
        </w:rPr>
        <w:t>有权</w:t>
      </w:r>
      <w:r>
        <w:rPr>
          <w:rFonts w:hint="eastAsia" w:eastAsia="仿宋_GB2312"/>
          <w:szCs w:val="28"/>
          <w:lang w:val="en-US" w:eastAsia="zh-CN"/>
        </w:rPr>
        <w:t>售予</w:t>
      </w:r>
      <w:r>
        <w:rPr>
          <w:rFonts w:hint="eastAsia" w:eastAsia="仿宋_GB2312"/>
          <w:szCs w:val="28"/>
        </w:rPr>
        <w:t>采购人</w:t>
      </w:r>
      <w:r>
        <w:rPr>
          <w:rFonts w:hint="eastAsia" w:eastAsia="仿宋_GB2312"/>
          <w:szCs w:val="28"/>
          <w:lang w:val="en-US" w:eastAsia="zh-CN"/>
        </w:rPr>
        <w:t>所有权</w:t>
      </w:r>
      <w:r>
        <w:rPr>
          <w:rFonts w:hint="eastAsia" w:eastAsia="仿宋_GB2312"/>
          <w:szCs w:val="28"/>
        </w:rPr>
        <w:t>。如果第三方提出侵权指控，</w:t>
      </w:r>
      <w:r>
        <w:rPr>
          <w:rFonts w:hint="eastAsia" w:eastAsia="仿宋_GB2312"/>
          <w:szCs w:val="28"/>
          <w:lang w:eastAsia="zh-CN"/>
        </w:rPr>
        <w:t>中标人</w:t>
      </w:r>
      <w:r>
        <w:rPr>
          <w:rFonts w:hint="eastAsia" w:eastAsia="仿宋_GB2312"/>
          <w:szCs w:val="28"/>
        </w:rPr>
        <w:t>应承担由此而引起的一切法律责任和费用。</w:t>
      </w:r>
    </w:p>
    <w:p>
      <w:pPr>
        <w:numPr>
          <w:ilvl w:val="0"/>
          <w:numId w:val="0"/>
        </w:numPr>
        <w:adjustRightInd w:val="0"/>
        <w:snapToGrid w:val="0"/>
        <w:spacing w:line="480" w:lineRule="exact"/>
        <w:ind w:firstLine="560" w:firstLineChars="200"/>
        <w:rPr>
          <w:rFonts w:hint="eastAsia" w:ascii="楷体_GB2312" w:hAnsi="楷体_GB2312" w:eastAsia="楷体_GB2312" w:cs="楷体_GB2312"/>
          <w:szCs w:val="28"/>
          <w:lang w:val="en-US" w:eastAsia="zh-CN"/>
        </w:rPr>
      </w:pPr>
      <w:r>
        <w:rPr>
          <w:rFonts w:hint="eastAsia" w:ascii="楷体_GB2312" w:hAnsi="楷体_GB2312" w:eastAsia="楷体_GB2312" w:cs="楷体_GB2312"/>
          <w:szCs w:val="28"/>
          <w:lang w:val="en-US" w:eastAsia="zh-CN"/>
        </w:rPr>
        <w:t>（六）事故责任</w:t>
      </w:r>
    </w:p>
    <w:p>
      <w:pPr>
        <w:snapToGrid w:val="0"/>
        <w:spacing w:line="480" w:lineRule="exact"/>
        <w:ind w:firstLine="560" w:firstLineChars="200"/>
        <w:jc w:val="left"/>
        <w:rPr>
          <w:rFonts w:hint="eastAsia" w:ascii="Times New Roman" w:hAnsi="Times New Roman" w:eastAsia="仿宋_GB2312" w:cs="Times New Roman"/>
          <w:szCs w:val="28"/>
          <w:lang w:val="en-US" w:eastAsia="zh-CN"/>
        </w:rPr>
      </w:pPr>
      <w:r>
        <w:rPr>
          <w:rFonts w:hint="eastAsia" w:ascii="Times New Roman" w:hAnsi="Times New Roman" w:eastAsia="仿宋_GB2312" w:cs="Times New Roman"/>
          <w:szCs w:val="28"/>
          <w:lang w:val="en-US" w:eastAsia="zh-CN"/>
        </w:rPr>
        <w:t>中标人对在运输、施工过程中出现的因材料、设备</w:t>
      </w:r>
      <w:r>
        <w:rPr>
          <w:rFonts w:hint="eastAsia" w:eastAsia="仿宋_GB2312" w:cs="Times New Roman"/>
          <w:szCs w:val="28"/>
          <w:lang w:val="en-US" w:eastAsia="zh-CN"/>
        </w:rPr>
        <w:t>、管理</w:t>
      </w:r>
      <w:r>
        <w:rPr>
          <w:rFonts w:hint="eastAsia" w:ascii="Times New Roman" w:hAnsi="Times New Roman" w:eastAsia="仿宋_GB2312" w:cs="Times New Roman"/>
          <w:szCs w:val="28"/>
          <w:lang w:val="en-US" w:eastAsia="zh-CN"/>
        </w:rPr>
        <w:t>及操作引起的安全事故负全责，并承担安全事故及其造成的人身伤害事故等相应赔偿。</w:t>
      </w:r>
    </w:p>
    <w:p>
      <w:pPr>
        <w:numPr>
          <w:ilvl w:val="0"/>
          <w:numId w:val="0"/>
        </w:numPr>
        <w:adjustRightInd w:val="0"/>
        <w:snapToGrid w:val="0"/>
        <w:spacing w:line="480" w:lineRule="exact"/>
        <w:ind w:firstLine="560" w:firstLineChars="200"/>
        <w:rPr>
          <w:rFonts w:hint="eastAsia" w:ascii="楷体_GB2312" w:hAnsi="楷体_GB2312" w:eastAsia="楷体_GB2312" w:cs="楷体_GB2312"/>
          <w:szCs w:val="28"/>
          <w:lang w:val="en-US" w:eastAsia="zh-CN"/>
        </w:rPr>
      </w:pPr>
      <w:r>
        <w:rPr>
          <w:rFonts w:hint="eastAsia" w:ascii="楷体_GB2312" w:hAnsi="楷体_GB2312" w:eastAsia="楷体_GB2312" w:cs="楷体_GB2312"/>
          <w:szCs w:val="28"/>
          <w:lang w:val="en-US" w:eastAsia="zh-CN"/>
        </w:rPr>
        <w:t>（七）其他说明。</w:t>
      </w:r>
    </w:p>
    <w:p>
      <w:pPr>
        <w:numPr>
          <w:ilvl w:val="0"/>
          <w:numId w:val="0"/>
        </w:numPr>
        <w:adjustRightInd w:val="0"/>
        <w:snapToGrid w:val="0"/>
        <w:spacing w:line="480" w:lineRule="exact"/>
        <w:ind w:leftChars="200"/>
        <w:rPr>
          <w:rFonts w:hint="eastAsia" w:ascii="楷体_GB2312" w:hAnsi="楷体_GB2312" w:eastAsia="楷体_GB2312" w:cs="楷体_GB2312"/>
          <w:szCs w:val="28"/>
          <w:lang w:val="en-US" w:eastAsia="zh-CN"/>
        </w:rPr>
      </w:pPr>
      <w:r>
        <w:rPr>
          <w:rFonts w:hint="eastAsia" w:ascii="楷体_GB2312" w:hAnsi="楷体_GB2312" w:eastAsia="楷体_GB2312" w:cs="楷体_GB2312"/>
          <w:szCs w:val="28"/>
          <w:lang w:val="en-US" w:eastAsia="zh-CN"/>
        </w:rPr>
        <w:t>无。</w:t>
      </w:r>
    </w:p>
    <w:p>
      <w:pPr>
        <w:pStyle w:val="2"/>
        <w:rPr>
          <w:rFonts w:hint="eastAsia" w:ascii="楷体_GB2312" w:hAnsi="楷体_GB2312" w:eastAsia="楷体_GB2312" w:cs="楷体_GB2312"/>
          <w:szCs w:val="28"/>
          <w:lang w:val="en-US" w:eastAsia="zh-CN"/>
        </w:rPr>
      </w:pPr>
    </w:p>
    <w:p>
      <w:pPr>
        <w:rPr>
          <w:rFonts w:hint="eastAsia" w:ascii="楷体_GB2312" w:hAnsi="楷体_GB2312" w:eastAsia="楷体_GB2312" w:cs="楷体_GB2312"/>
          <w:szCs w:val="28"/>
          <w:lang w:val="en-US" w:eastAsia="zh-CN"/>
        </w:rPr>
      </w:pPr>
    </w:p>
    <w:p>
      <w:pPr>
        <w:pStyle w:val="2"/>
        <w:rPr>
          <w:rFonts w:hint="eastAsia" w:ascii="楷体_GB2312" w:hAnsi="楷体_GB2312" w:eastAsia="楷体_GB2312" w:cs="楷体_GB2312"/>
          <w:szCs w:val="28"/>
          <w:lang w:val="en-US" w:eastAsia="zh-CN"/>
        </w:rPr>
      </w:pPr>
    </w:p>
    <w:p>
      <w:pPr>
        <w:rPr>
          <w:rFonts w:hint="eastAsia" w:ascii="楷体_GB2312" w:hAnsi="楷体_GB2312" w:eastAsia="楷体_GB2312" w:cs="楷体_GB2312"/>
          <w:szCs w:val="28"/>
          <w:lang w:val="en-US" w:eastAsia="zh-CN"/>
        </w:rPr>
      </w:pPr>
    </w:p>
    <w:p>
      <w:pPr>
        <w:pStyle w:val="2"/>
        <w:rPr>
          <w:rFonts w:hint="eastAsia" w:ascii="楷体_GB2312" w:hAnsi="楷体_GB2312" w:eastAsia="楷体_GB2312" w:cs="楷体_GB2312"/>
          <w:szCs w:val="28"/>
          <w:lang w:val="en-US" w:eastAsia="zh-CN"/>
        </w:rPr>
      </w:pPr>
    </w:p>
    <w:p>
      <w:pPr>
        <w:rPr>
          <w:rFonts w:hint="eastAsia" w:ascii="楷体_GB2312" w:hAnsi="楷体_GB2312" w:eastAsia="楷体_GB2312" w:cs="楷体_GB2312"/>
          <w:szCs w:val="28"/>
          <w:lang w:val="en-US" w:eastAsia="zh-CN"/>
        </w:rPr>
      </w:pPr>
    </w:p>
    <w:p>
      <w:pPr>
        <w:pStyle w:val="2"/>
        <w:rPr>
          <w:rFonts w:hint="eastAsia" w:ascii="楷体_GB2312" w:hAnsi="楷体_GB2312" w:eastAsia="楷体_GB2312" w:cs="楷体_GB2312"/>
          <w:szCs w:val="28"/>
          <w:lang w:val="en-US" w:eastAsia="zh-CN"/>
        </w:rPr>
      </w:pPr>
    </w:p>
    <w:p>
      <w:pPr>
        <w:rPr>
          <w:rFonts w:hint="eastAsia" w:ascii="楷体_GB2312" w:hAnsi="楷体_GB2312" w:eastAsia="楷体_GB2312" w:cs="楷体_GB2312"/>
          <w:szCs w:val="28"/>
          <w:lang w:val="en-US" w:eastAsia="zh-CN"/>
        </w:rPr>
      </w:pPr>
    </w:p>
    <w:p>
      <w:pPr>
        <w:pStyle w:val="2"/>
        <w:rPr>
          <w:rFonts w:hint="eastAsia" w:ascii="楷体_GB2312" w:hAnsi="楷体_GB2312" w:eastAsia="楷体_GB2312" w:cs="楷体_GB2312"/>
          <w:szCs w:val="28"/>
          <w:lang w:val="en-US" w:eastAsia="zh-CN"/>
        </w:rPr>
      </w:pPr>
    </w:p>
    <w:p>
      <w:pPr>
        <w:rPr>
          <w:rFonts w:hint="eastAsia" w:ascii="楷体_GB2312" w:hAnsi="楷体_GB2312" w:eastAsia="楷体_GB2312" w:cs="楷体_GB2312"/>
          <w:szCs w:val="28"/>
          <w:lang w:val="en-US" w:eastAsia="zh-CN"/>
        </w:rPr>
      </w:pPr>
    </w:p>
    <w:p>
      <w:pPr>
        <w:pStyle w:val="2"/>
        <w:rPr>
          <w:rFonts w:hint="eastAsia" w:ascii="楷体_GB2312" w:hAnsi="楷体_GB2312" w:eastAsia="楷体_GB2312" w:cs="楷体_GB2312"/>
          <w:szCs w:val="28"/>
          <w:lang w:val="en-US" w:eastAsia="zh-CN"/>
        </w:rPr>
      </w:pPr>
    </w:p>
    <w:p>
      <w:pPr>
        <w:rPr>
          <w:rFonts w:hint="eastAsia" w:ascii="楷体_GB2312" w:hAnsi="楷体_GB2312" w:eastAsia="楷体_GB2312" w:cs="楷体_GB2312"/>
          <w:szCs w:val="28"/>
          <w:lang w:val="en-US" w:eastAsia="zh-CN"/>
        </w:rPr>
      </w:pPr>
    </w:p>
    <w:p>
      <w:pPr>
        <w:pStyle w:val="2"/>
        <w:rPr>
          <w:rFonts w:hint="eastAsia" w:ascii="楷体_GB2312" w:hAnsi="楷体_GB2312" w:eastAsia="楷体_GB2312" w:cs="楷体_GB2312"/>
          <w:szCs w:val="28"/>
          <w:lang w:val="en-US" w:eastAsia="zh-CN"/>
        </w:rPr>
      </w:pPr>
    </w:p>
    <w:p>
      <w:pPr>
        <w:rPr>
          <w:rFonts w:hint="eastAsia" w:ascii="楷体_GB2312" w:hAnsi="楷体_GB2312" w:eastAsia="楷体_GB2312" w:cs="楷体_GB2312"/>
          <w:szCs w:val="28"/>
          <w:lang w:val="en-US" w:eastAsia="zh-CN"/>
        </w:rPr>
      </w:pPr>
    </w:p>
    <w:p>
      <w:pPr>
        <w:pStyle w:val="2"/>
        <w:rPr>
          <w:rFonts w:hint="eastAsia" w:ascii="楷体_GB2312" w:hAnsi="楷体_GB2312" w:eastAsia="楷体_GB2312" w:cs="楷体_GB2312"/>
          <w:szCs w:val="28"/>
          <w:lang w:val="en-US" w:eastAsia="zh-CN"/>
        </w:rPr>
      </w:pPr>
    </w:p>
    <w:p>
      <w:pPr>
        <w:rPr>
          <w:rFonts w:hint="eastAsia"/>
          <w:lang w:val="en-US" w:eastAsia="zh-CN"/>
        </w:rPr>
      </w:pPr>
    </w:p>
    <w:p>
      <w:pPr>
        <w:pStyle w:val="3"/>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Arial Unicode MS" w:hAnsi="Arial Unicode MS" w:eastAsia="Arial Unicode MS" w:cs="Arial Unicode MS"/>
                <w:sz w:val="48"/>
                <w:szCs w:val="48"/>
                <w:u w:val="single"/>
              </w:rPr>
            </w:pPr>
            <w:r>
              <w:rPr>
                <w:rStyle w:val="41"/>
                <w:rFonts w:hint="default"/>
                <w:sz w:val="48"/>
                <w:szCs w:val="48"/>
                <w:lang w:bidi="ar"/>
              </w:rPr>
              <w:t xml:space="preserve">    </w:t>
            </w:r>
            <w:r>
              <w:rPr>
                <w:rStyle w:val="42"/>
                <w:rFonts w:hint="default"/>
                <w:i w:val="0"/>
                <w:iCs w:val="0"/>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Arial Unicode MS" w:hAnsi="Arial Unicode MS" w:eastAsia="Arial Unicode MS" w:cs="Arial Unicode MS"/>
                <w:sz w:val="48"/>
                <w:szCs w:val="48"/>
              </w:rPr>
            </w:pPr>
            <w:r>
              <w:rPr>
                <w:rFonts w:hint="eastAsia" w:ascii="Arial Unicode MS" w:hAnsi="Arial Unicode MS" w:eastAsia="Arial Unicode MS" w:cs="Arial Unicode MS"/>
                <w:kern w:val="0"/>
                <w:sz w:val="48"/>
                <w:szCs w:val="48"/>
                <w:lang w:bidi="ar"/>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pPr>
              <w:widowControl/>
              <w:jc w:val="center"/>
              <w:textAlignment w:val="center"/>
              <w:rPr>
                <w:rFonts w:ascii="宋体" w:hAnsi="宋体" w:cs="宋体"/>
                <w:sz w:val="24"/>
                <w:szCs w:val="24"/>
              </w:rPr>
            </w:pPr>
            <w:r>
              <w:rPr>
                <w:rFonts w:hint="eastAsia" w:ascii="宋体" w:hAnsi="宋体" w:cs="宋体"/>
                <w:kern w:val="0"/>
                <w:sz w:val="24"/>
                <w:szCs w:val="24"/>
                <w:lang w:bidi="ar"/>
              </w:rPr>
              <w:t>单价/元</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承诺满足询价文件全部技术与商务需求。</w:t>
            </w:r>
          </w:p>
        </w:tc>
      </w:tr>
      <w:tr>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报价人名称：</w:t>
            </w:r>
          </w:p>
          <w:p>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sz w:val="24"/>
                <w:szCs w:val="18"/>
              </w:rPr>
            </w:pPr>
            <w:r>
              <w:rPr>
                <w:rFonts w:hint="eastAsia"/>
                <w:sz w:val="24"/>
                <w:szCs w:val="18"/>
              </w:rPr>
              <w:t>法定代表人或其授权代表：</w:t>
            </w:r>
          </w:p>
          <w:p>
            <w:pPr>
              <w:pStyle w:val="18"/>
              <w:ind w:firstLine="240"/>
              <w:jc w:val="center"/>
            </w:pPr>
            <w:r>
              <w:rPr>
                <w:rFonts w:hint="eastAsia"/>
                <w:sz w:val="24"/>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宋体" w:hAnsi="宋体" w:cs="宋体"/>
                <w:sz w:val="24"/>
                <w:szCs w:val="24"/>
              </w:rPr>
            </w:pPr>
            <w:r>
              <w:rPr>
                <w:rFonts w:hint="eastAsia" w:ascii="宋体" w:hAnsi="宋体" w:cs="宋体"/>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pPr>
              <w:widowControl/>
              <w:jc w:val="left"/>
              <w:textAlignment w:val="bottom"/>
              <w:rPr>
                <w:rFonts w:ascii="宋体" w:hAnsi="宋体" w:cs="宋体"/>
                <w:sz w:val="24"/>
                <w:szCs w:val="24"/>
              </w:rPr>
            </w:pPr>
            <w:r>
              <w:rPr>
                <w:rFonts w:hint="eastAsia" w:ascii="宋体" w:hAnsi="宋体" w:cs="宋体"/>
                <w:kern w:val="0"/>
                <w:sz w:val="24"/>
                <w:szCs w:val="24"/>
                <w:lang w:bidi="ar"/>
              </w:rPr>
              <w:t xml:space="preserve">    年   月   日</w:t>
            </w:r>
          </w:p>
        </w:tc>
      </w:tr>
    </w:tbl>
    <w:p>
      <w:pPr>
        <w:widowControl/>
        <w:jc w:val="left"/>
        <w:sectPr>
          <w:headerReference r:id="rId8" w:type="default"/>
          <w:footerReference r:id="rId9" w:type="default"/>
          <w:pgSz w:w="11906" w:h="16838"/>
          <w:pgMar w:top="1440" w:right="1800" w:bottom="1440" w:left="1800" w:header="851" w:footer="992" w:gutter="0"/>
          <w:cols w:space="425" w:num="1"/>
          <w:docGrid w:type="lines" w:linePitch="312" w:charSpace="0"/>
        </w:sectPr>
      </w:pPr>
    </w:p>
    <w:p>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营业执照复印件并加盖鲜章</w:t>
      </w:r>
    </w:p>
    <w:p>
      <w:pPr>
        <w:ind w:firstLine="640" w:firstLineChars="200"/>
        <w:rPr>
          <w:rFonts w:eastAsia="楷体_GB2312"/>
          <w:sz w:val="32"/>
          <w:szCs w:val="32"/>
        </w:rPr>
      </w:pPr>
    </w:p>
    <w:p>
      <w:pPr>
        <w:widowControl/>
        <w:jc w:val="center"/>
        <w:textAlignment w:val="bottom"/>
        <w:rPr>
          <w:rFonts w:ascii="Arial Unicode MS" w:hAnsi="Arial Unicode MS" w:eastAsia="Arial Unicode MS" w:cs="Arial Unicode MS"/>
          <w:kern w:val="0"/>
          <w:sz w:val="48"/>
          <w:szCs w:val="48"/>
          <w:lang w:bidi="ar"/>
        </w:rPr>
        <w:sectPr>
          <w:pgSz w:w="11906" w:h="16838"/>
          <w:pgMar w:top="1440" w:right="1800" w:bottom="1440" w:left="1800" w:header="851" w:footer="992" w:gutter="0"/>
          <w:cols w:space="425" w:num="1"/>
          <w:docGrid w:type="lines" w:linePitch="312" w:charSpace="0"/>
        </w:sectPr>
      </w:pPr>
    </w:p>
    <w:p>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法定代表人资格证明书</w:t>
      </w:r>
    </w:p>
    <w:p>
      <w:pPr>
        <w:ind w:firstLine="640" w:firstLineChars="200"/>
        <w:rPr>
          <w:rFonts w:eastAsia="楷体_GB2312"/>
          <w:sz w:val="32"/>
          <w:szCs w:val="32"/>
        </w:rPr>
      </w:pPr>
    </w:p>
    <w:p>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特此证明</w:t>
      </w:r>
    </w:p>
    <w:p>
      <w:pPr>
        <w:rPr>
          <w:szCs w:val="28"/>
        </w:rPr>
      </w:pPr>
      <w:r>
        <w:rPr>
          <w:sz w:val="24"/>
          <w:szCs w:val="24"/>
        </w:rPr>
        <w:pict>
          <v:shape id="文本框 5" o:spid="_x0000_s2052"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path/>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sz w:val="24"/>
          <w:szCs w:val="24"/>
        </w:rPr>
        <w:pict>
          <v:shape id="文本框 6" o:spid="_x0000_s2053"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path/>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pPr>
        <w:rPr>
          <w:szCs w:val="28"/>
        </w:rPr>
      </w:pPr>
    </w:p>
    <w:p>
      <w:pPr>
        <w:rPr>
          <w:szCs w:val="28"/>
        </w:rPr>
      </w:pPr>
    </w:p>
    <w:p>
      <w:pPr>
        <w:rPr>
          <w:szCs w:val="28"/>
        </w:rPr>
      </w:pPr>
    </w:p>
    <w:p>
      <w:pPr>
        <w:rPr>
          <w:szCs w:val="28"/>
        </w:rPr>
      </w:pPr>
    </w:p>
    <w:p>
      <w:pPr>
        <w:rPr>
          <w:kern w:val="0"/>
          <w:szCs w:val="28"/>
        </w:rPr>
      </w:pPr>
    </w:p>
    <w:p>
      <w:pPr>
        <w:pStyle w:val="18"/>
        <w:ind w:firstLine="201"/>
        <w:rPr>
          <w:szCs w:val="28"/>
        </w:rPr>
      </w:pPr>
    </w:p>
    <w:p>
      <w:pPr>
        <w:rPr>
          <w:kern w:val="0"/>
          <w:szCs w:val="28"/>
        </w:rPr>
      </w:pPr>
    </w:p>
    <w:p>
      <w:pPr>
        <w:pStyle w:val="18"/>
        <w:ind w:firstLine="201"/>
      </w:pPr>
    </w:p>
    <w:p>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5600"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kern w:val="0"/>
        </w:rPr>
        <w:t>注：本页内容适用于法定代表人亲自竞价。</w:t>
      </w:r>
      <w:r>
        <w:rPr>
          <w:rFonts w:eastAsia="黑体"/>
          <w:kern w:val="0"/>
          <w:szCs w:val="28"/>
        </w:rPr>
        <w:br w:type="page"/>
      </w:r>
    </w:p>
    <w:p>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法定代表人授权书</w:t>
      </w:r>
    </w:p>
    <w:p>
      <w:pPr>
        <w:ind w:firstLine="640" w:firstLineChars="200"/>
        <w:rPr>
          <w:rFonts w:eastAsia="楷体_GB2312"/>
          <w:sz w:val="32"/>
          <w:szCs w:val="32"/>
        </w:rPr>
      </w:pPr>
    </w:p>
    <w:p>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640"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pPr>
        <w:spacing w:line="560" w:lineRule="exact"/>
        <w:ind w:firstLine="573"/>
        <w:rPr>
          <w:kern w:val="0"/>
          <w:sz w:val="32"/>
          <w:szCs w:val="32"/>
        </w:rPr>
      </w:pPr>
      <w:r>
        <w:rPr>
          <w:sz w:val="32"/>
          <w:szCs w:val="32"/>
        </w:rPr>
        <w:pict>
          <v:shape id="文本框 1" o:spid="_x0000_s2051"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path/>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sz w:val="32"/>
          <w:szCs w:val="32"/>
        </w:rPr>
        <w:pict>
          <v:shape id="_x0000_s2050" o:spid="_x0000_s2050"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path/>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spacing w:line="460" w:lineRule="atLeast"/>
        <w:rPr>
          <w:rFonts w:eastAsia="仿宋"/>
          <w:kern w:val="0"/>
        </w:rPr>
      </w:pPr>
    </w:p>
    <w:p>
      <w:pPr>
        <w:pStyle w:val="18"/>
        <w:ind w:firstLine="201"/>
      </w:pPr>
    </w:p>
    <w:p>
      <w:pPr>
        <w:pStyle w:val="18"/>
        <w:ind w:firstLine="201"/>
        <w:rPr>
          <w:rFonts w:hint="eastAsia" w:ascii="楷体_GB2312" w:hAnsi="楷体_GB2312" w:eastAsia="仿宋" w:cs="楷体_GB2312"/>
          <w:szCs w:val="28"/>
          <w:lang w:val="en-US" w:eastAsia="zh-CN"/>
        </w:rPr>
        <w:sectPr>
          <w:headerReference r:id="rId10" w:type="default"/>
          <w:footerReference r:id="rId11" w:type="default"/>
          <w:pgSz w:w="11906" w:h="16838"/>
          <w:pgMar w:top="1440" w:right="1800" w:bottom="1440" w:left="1800" w:header="851" w:footer="992" w:gutter="0"/>
          <w:cols w:space="425" w:num="1"/>
          <w:docGrid w:type="lines" w:linePitch="312" w:charSpace="0"/>
        </w:sectPr>
      </w:pPr>
      <w:r>
        <w:rPr>
          <w:rFonts w:hint="eastAsia" w:eastAsia="仿宋"/>
        </w:rPr>
        <w:t>注：本内容适用于授权委托代理人，法定代表人授权书须法定代表人签字授权</w:t>
      </w:r>
      <w:r>
        <w:rPr>
          <w:rFonts w:hint="eastAsia" w:eastAsia="仿宋"/>
          <w:lang w:eastAsia="zh-CN"/>
        </w:rPr>
        <w:t>。</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53DECE-AB25-4AAA-B70B-976856458A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8699F309-2A14-4E31-9905-35B2BC7730BF}"/>
  </w:font>
  <w:font w:name="微软雅黑">
    <w:panose1 w:val="020B0503020204020204"/>
    <w:charset w:val="86"/>
    <w:family w:val="auto"/>
    <w:pitch w:val="default"/>
    <w:sig w:usb0="80000287" w:usb1="2ACF3C50" w:usb2="00000016" w:usb3="00000000" w:csb0="0004001F" w:csb1="00000000"/>
    <w:embedRegular r:id="rId3" w:fontKey="{99CAD303-AB27-49D2-8911-D6C959D627C0}"/>
  </w:font>
  <w:font w:name="方正大标宋简体">
    <w:altName w:val="微软雅黑"/>
    <w:panose1 w:val="00000000000000000000"/>
    <w:charset w:val="86"/>
    <w:family w:val="script"/>
    <w:pitch w:val="default"/>
    <w:sig w:usb0="00000000" w:usb1="00000000" w:usb2="00000010" w:usb3="00000000" w:csb0="00040000" w:csb1="00000000"/>
    <w:embedRegular r:id="rId4" w:fontKey="{D66E0090-0186-4EC1-9692-790CB440442F}"/>
  </w:font>
  <w:font w:name="Arial Unicode MS">
    <w:altName w:val="Arial"/>
    <w:panose1 w:val="020B06040202020202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embedRegular r:id="rId5" w:fontKey="{DCFAC755-9CFF-4BE7-98D4-38E58A400B92}"/>
  </w:font>
  <w:font w:name="仿宋">
    <w:panose1 w:val="02010609060101010101"/>
    <w:charset w:val="86"/>
    <w:family w:val="modern"/>
    <w:pitch w:val="default"/>
    <w:sig w:usb0="800002BF" w:usb1="38CF7CFA" w:usb2="00000016" w:usb3="00000000" w:csb0="00040001" w:csb1="00000000"/>
    <w:embedRegular r:id="rId6" w:fontKey="{F9BBB328-7440-448E-A434-7505A6558064}"/>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sz w:val="24"/>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pict>
        <v:shape id="文本框 4"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v:path/>
          <v:fill on="f" focussize="0,0"/>
          <v:stroke on="f" joinstyle="miter"/>
          <v:imagedata o:title=""/>
          <o:lock v:ext="edit"/>
          <v:textbox inset="0mm,0mm,0mm,0mm" style="mso-fit-shape-to-text:t;">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rFonts w:ascii="宋体" w:hAnsi="宋体"/>
        <w:szCs w:val="28"/>
      </w:rPr>
    </w:pPr>
  </w:p>
  <w:p>
    <w:pPr>
      <w:pStyle w:val="12"/>
      <w:ind w:right="360" w:firstLine="360"/>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36247AA8"/>
    <w:multiLevelType w:val="singleLevel"/>
    <w:tmpl w:val="36247AA8"/>
    <w:lvl w:ilvl="0" w:tentative="0">
      <w:start w:val="1"/>
      <w:numFmt w:val="decimal"/>
      <w:lvlText w:val="%1."/>
      <w:lvlJc w:val="left"/>
      <w:pPr>
        <w:tabs>
          <w:tab w:val="left" w:pos="312"/>
        </w:tabs>
        <w:ind w:left="525"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mZDE4MzlmMTQyMjE1Yjk4ZGIzNDJjNjA5NzhhNTI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0026"/>
    <w:rsid w:val="0007370D"/>
    <w:rsid w:val="000770DD"/>
    <w:rsid w:val="00082AEF"/>
    <w:rsid w:val="00083364"/>
    <w:rsid w:val="00091B84"/>
    <w:rsid w:val="000A5D46"/>
    <w:rsid w:val="000A6D0C"/>
    <w:rsid w:val="000B3A64"/>
    <w:rsid w:val="000D2073"/>
    <w:rsid w:val="000D3A1D"/>
    <w:rsid w:val="000D551C"/>
    <w:rsid w:val="000D6E74"/>
    <w:rsid w:val="000E2AF7"/>
    <w:rsid w:val="000F4B27"/>
    <w:rsid w:val="000F6D08"/>
    <w:rsid w:val="00107BAB"/>
    <w:rsid w:val="00131918"/>
    <w:rsid w:val="00137C02"/>
    <w:rsid w:val="0014076F"/>
    <w:rsid w:val="00170DB6"/>
    <w:rsid w:val="0017159F"/>
    <w:rsid w:val="001716CA"/>
    <w:rsid w:val="001716F0"/>
    <w:rsid w:val="00171D5C"/>
    <w:rsid w:val="001720AC"/>
    <w:rsid w:val="00172D1F"/>
    <w:rsid w:val="001831AB"/>
    <w:rsid w:val="0019636B"/>
    <w:rsid w:val="001A1E77"/>
    <w:rsid w:val="001B15BA"/>
    <w:rsid w:val="001B29BC"/>
    <w:rsid w:val="001C078F"/>
    <w:rsid w:val="001C3A2E"/>
    <w:rsid w:val="001C7FAA"/>
    <w:rsid w:val="001D3DC1"/>
    <w:rsid w:val="001D6F95"/>
    <w:rsid w:val="001E463B"/>
    <w:rsid w:val="001F2136"/>
    <w:rsid w:val="001F676A"/>
    <w:rsid w:val="0020164F"/>
    <w:rsid w:val="00203263"/>
    <w:rsid w:val="00203C5A"/>
    <w:rsid w:val="00204B6A"/>
    <w:rsid w:val="002132D1"/>
    <w:rsid w:val="00214897"/>
    <w:rsid w:val="0021520F"/>
    <w:rsid w:val="002361DB"/>
    <w:rsid w:val="00260514"/>
    <w:rsid w:val="00264888"/>
    <w:rsid w:val="00271032"/>
    <w:rsid w:val="0028424C"/>
    <w:rsid w:val="002877B2"/>
    <w:rsid w:val="00293B2B"/>
    <w:rsid w:val="002A44AB"/>
    <w:rsid w:val="002B39C5"/>
    <w:rsid w:val="002D0EE2"/>
    <w:rsid w:val="002E04E4"/>
    <w:rsid w:val="00305149"/>
    <w:rsid w:val="00315DA4"/>
    <w:rsid w:val="0032001B"/>
    <w:rsid w:val="0032350B"/>
    <w:rsid w:val="00326E86"/>
    <w:rsid w:val="00332201"/>
    <w:rsid w:val="00332BEF"/>
    <w:rsid w:val="00352D17"/>
    <w:rsid w:val="00352D72"/>
    <w:rsid w:val="003706E3"/>
    <w:rsid w:val="0037349A"/>
    <w:rsid w:val="003A0F0C"/>
    <w:rsid w:val="003A2CC4"/>
    <w:rsid w:val="003A6866"/>
    <w:rsid w:val="003B379C"/>
    <w:rsid w:val="003D3A7D"/>
    <w:rsid w:val="003E4694"/>
    <w:rsid w:val="003E6CC5"/>
    <w:rsid w:val="003F4457"/>
    <w:rsid w:val="0041298A"/>
    <w:rsid w:val="00412A87"/>
    <w:rsid w:val="00414521"/>
    <w:rsid w:val="00421048"/>
    <w:rsid w:val="004223BD"/>
    <w:rsid w:val="00422928"/>
    <w:rsid w:val="00422A65"/>
    <w:rsid w:val="0043247E"/>
    <w:rsid w:val="0044132E"/>
    <w:rsid w:val="00445A14"/>
    <w:rsid w:val="00450B3D"/>
    <w:rsid w:val="00454FB6"/>
    <w:rsid w:val="00460015"/>
    <w:rsid w:val="0046249A"/>
    <w:rsid w:val="00477571"/>
    <w:rsid w:val="004A092D"/>
    <w:rsid w:val="004A15F8"/>
    <w:rsid w:val="004A36DD"/>
    <w:rsid w:val="004B2397"/>
    <w:rsid w:val="004C5882"/>
    <w:rsid w:val="004C5F49"/>
    <w:rsid w:val="004D18A3"/>
    <w:rsid w:val="004D2004"/>
    <w:rsid w:val="004D7404"/>
    <w:rsid w:val="004E3778"/>
    <w:rsid w:val="004E7D53"/>
    <w:rsid w:val="004F10A5"/>
    <w:rsid w:val="004F2E66"/>
    <w:rsid w:val="004F3E95"/>
    <w:rsid w:val="004F5DD0"/>
    <w:rsid w:val="00512C41"/>
    <w:rsid w:val="00517001"/>
    <w:rsid w:val="0052507B"/>
    <w:rsid w:val="00525B3B"/>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3B7E"/>
    <w:rsid w:val="005D4297"/>
    <w:rsid w:val="005E4B2B"/>
    <w:rsid w:val="005E5C21"/>
    <w:rsid w:val="005F3F5E"/>
    <w:rsid w:val="005F4DD7"/>
    <w:rsid w:val="0061547C"/>
    <w:rsid w:val="006337FD"/>
    <w:rsid w:val="00634B3A"/>
    <w:rsid w:val="00665A8C"/>
    <w:rsid w:val="00666E2C"/>
    <w:rsid w:val="00677DBB"/>
    <w:rsid w:val="00685CBC"/>
    <w:rsid w:val="00686328"/>
    <w:rsid w:val="006A0182"/>
    <w:rsid w:val="006B3E2F"/>
    <w:rsid w:val="006B7E39"/>
    <w:rsid w:val="006D1AE1"/>
    <w:rsid w:val="006D7B74"/>
    <w:rsid w:val="006E797E"/>
    <w:rsid w:val="006F11AE"/>
    <w:rsid w:val="006F1A9D"/>
    <w:rsid w:val="00700171"/>
    <w:rsid w:val="007005ED"/>
    <w:rsid w:val="0071366D"/>
    <w:rsid w:val="00715726"/>
    <w:rsid w:val="00720916"/>
    <w:rsid w:val="00730E3E"/>
    <w:rsid w:val="00732A0E"/>
    <w:rsid w:val="00733154"/>
    <w:rsid w:val="00745AD9"/>
    <w:rsid w:val="00753F58"/>
    <w:rsid w:val="00756F57"/>
    <w:rsid w:val="0075756C"/>
    <w:rsid w:val="00757BB6"/>
    <w:rsid w:val="00761DC8"/>
    <w:rsid w:val="0077555E"/>
    <w:rsid w:val="00785C81"/>
    <w:rsid w:val="00786E3E"/>
    <w:rsid w:val="00787764"/>
    <w:rsid w:val="00791354"/>
    <w:rsid w:val="00796E35"/>
    <w:rsid w:val="007A0DC5"/>
    <w:rsid w:val="007C0F35"/>
    <w:rsid w:val="007C4F70"/>
    <w:rsid w:val="007D43F3"/>
    <w:rsid w:val="007D470A"/>
    <w:rsid w:val="007D592E"/>
    <w:rsid w:val="007F0121"/>
    <w:rsid w:val="00803D6E"/>
    <w:rsid w:val="00804720"/>
    <w:rsid w:val="008102FB"/>
    <w:rsid w:val="00810706"/>
    <w:rsid w:val="008220EC"/>
    <w:rsid w:val="00840267"/>
    <w:rsid w:val="00842062"/>
    <w:rsid w:val="00847D8E"/>
    <w:rsid w:val="00851DDC"/>
    <w:rsid w:val="008572E2"/>
    <w:rsid w:val="00860600"/>
    <w:rsid w:val="008668B9"/>
    <w:rsid w:val="00875FA8"/>
    <w:rsid w:val="008777EB"/>
    <w:rsid w:val="008778EB"/>
    <w:rsid w:val="008B04DE"/>
    <w:rsid w:val="008B6C3D"/>
    <w:rsid w:val="008C24E6"/>
    <w:rsid w:val="008C3CEF"/>
    <w:rsid w:val="008C481B"/>
    <w:rsid w:val="008D03DD"/>
    <w:rsid w:val="008D58D2"/>
    <w:rsid w:val="008F06D9"/>
    <w:rsid w:val="008F1EBB"/>
    <w:rsid w:val="008F736E"/>
    <w:rsid w:val="0092443A"/>
    <w:rsid w:val="0092462D"/>
    <w:rsid w:val="0094241D"/>
    <w:rsid w:val="009438A5"/>
    <w:rsid w:val="00944BB6"/>
    <w:rsid w:val="00947DAF"/>
    <w:rsid w:val="0095172E"/>
    <w:rsid w:val="009620D3"/>
    <w:rsid w:val="00972FEA"/>
    <w:rsid w:val="00974EBD"/>
    <w:rsid w:val="00981735"/>
    <w:rsid w:val="00986B25"/>
    <w:rsid w:val="009915C8"/>
    <w:rsid w:val="009A4430"/>
    <w:rsid w:val="009A5867"/>
    <w:rsid w:val="009A7C84"/>
    <w:rsid w:val="009A7FAF"/>
    <w:rsid w:val="009B25D0"/>
    <w:rsid w:val="009B642A"/>
    <w:rsid w:val="009B7C47"/>
    <w:rsid w:val="009C7FB4"/>
    <w:rsid w:val="009D0D87"/>
    <w:rsid w:val="009E2897"/>
    <w:rsid w:val="00A134B4"/>
    <w:rsid w:val="00A14E54"/>
    <w:rsid w:val="00A3195B"/>
    <w:rsid w:val="00A40F31"/>
    <w:rsid w:val="00A419E6"/>
    <w:rsid w:val="00A81862"/>
    <w:rsid w:val="00A8190E"/>
    <w:rsid w:val="00A81F44"/>
    <w:rsid w:val="00A8220C"/>
    <w:rsid w:val="00A9081C"/>
    <w:rsid w:val="00A9126D"/>
    <w:rsid w:val="00A9792A"/>
    <w:rsid w:val="00AA393F"/>
    <w:rsid w:val="00AA39CB"/>
    <w:rsid w:val="00AB5FDC"/>
    <w:rsid w:val="00AC1483"/>
    <w:rsid w:val="00AC5063"/>
    <w:rsid w:val="00AF3591"/>
    <w:rsid w:val="00B15F80"/>
    <w:rsid w:val="00B23BB9"/>
    <w:rsid w:val="00B24C79"/>
    <w:rsid w:val="00B25D61"/>
    <w:rsid w:val="00B509C7"/>
    <w:rsid w:val="00B51B88"/>
    <w:rsid w:val="00B529B0"/>
    <w:rsid w:val="00B66C53"/>
    <w:rsid w:val="00B740F3"/>
    <w:rsid w:val="00B81310"/>
    <w:rsid w:val="00B853B1"/>
    <w:rsid w:val="00B96048"/>
    <w:rsid w:val="00BA1877"/>
    <w:rsid w:val="00BA1A3C"/>
    <w:rsid w:val="00BC7B4B"/>
    <w:rsid w:val="00BD32AB"/>
    <w:rsid w:val="00BF0416"/>
    <w:rsid w:val="00C020E5"/>
    <w:rsid w:val="00C0658C"/>
    <w:rsid w:val="00C12587"/>
    <w:rsid w:val="00C1625D"/>
    <w:rsid w:val="00C206A6"/>
    <w:rsid w:val="00C32703"/>
    <w:rsid w:val="00C35B08"/>
    <w:rsid w:val="00C463DB"/>
    <w:rsid w:val="00C5176F"/>
    <w:rsid w:val="00C55921"/>
    <w:rsid w:val="00C85D94"/>
    <w:rsid w:val="00C873F4"/>
    <w:rsid w:val="00C87CA5"/>
    <w:rsid w:val="00C901E6"/>
    <w:rsid w:val="00C90292"/>
    <w:rsid w:val="00C91ED5"/>
    <w:rsid w:val="00C94925"/>
    <w:rsid w:val="00CB7787"/>
    <w:rsid w:val="00CC653E"/>
    <w:rsid w:val="00CC6727"/>
    <w:rsid w:val="00CC694D"/>
    <w:rsid w:val="00CC729E"/>
    <w:rsid w:val="00CD2E04"/>
    <w:rsid w:val="00CF1DCE"/>
    <w:rsid w:val="00D03BD2"/>
    <w:rsid w:val="00D050B2"/>
    <w:rsid w:val="00D06112"/>
    <w:rsid w:val="00D06506"/>
    <w:rsid w:val="00D15779"/>
    <w:rsid w:val="00D47737"/>
    <w:rsid w:val="00D50775"/>
    <w:rsid w:val="00D6301B"/>
    <w:rsid w:val="00D677A6"/>
    <w:rsid w:val="00D85100"/>
    <w:rsid w:val="00D958FB"/>
    <w:rsid w:val="00DA1664"/>
    <w:rsid w:val="00DA1D7A"/>
    <w:rsid w:val="00DA7497"/>
    <w:rsid w:val="00DC107C"/>
    <w:rsid w:val="00DC14C1"/>
    <w:rsid w:val="00DC2C69"/>
    <w:rsid w:val="00DD2719"/>
    <w:rsid w:val="00DD2937"/>
    <w:rsid w:val="00DE1206"/>
    <w:rsid w:val="00DF5C20"/>
    <w:rsid w:val="00E01BE1"/>
    <w:rsid w:val="00E06491"/>
    <w:rsid w:val="00E066F0"/>
    <w:rsid w:val="00E069F9"/>
    <w:rsid w:val="00E167C3"/>
    <w:rsid w:val="00E2450F"/>
    <w:rsid w:val="00E43C84"/>
    <w:rsid w:val="00E46AE4"/>
    <w:rsid w:val="00E569FD"/>
    <w:rsid w:val="00E62D40"/>
    <w:rsid w:val="00E67189"/>
    <w:rsid w:val="00E70599"/>
    <w:rsid w:val="00E72147"/>
    <w:rsid w:val="00E72430"/>
    <w:rsid w:val="00E74F4E"/>
    <w:rsid w:val="00E8137A"/>
    <w:rsid w:val="00E849E9"/>
    <w:rsid w:val="00E8652F"/>
    <w:rsid w:val="00E92123"/>
    <w:rsid w:val="00E9542D"/>
    <w:rsid w:val="00E97744"/>
    <w:rsid w:val="00EB551D"/>
    <w:rsid w:val="00EB6628"/>
    <w:rsid w:val="00EC1556"/>
    <w:rsid w:val="00ED47FF"/>
    <w:rsid w:val="00EE6576"/>
    <w:rsid w:val="00F05475"/>
    <w:rsid w:val="00F11157"/>
    <w:rsid w:val="00F15D9A"/>
    <w:rsid w:val="00F3163F"/>
    <w:rsid w:val="00F3193C"/>
    <w:rsid w:val="00F40B9B"/>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E3BB1"/>
    <w:rsid w:val="00FF2B5F"/>
    <w:rsid w:val="00FF590C"/>
    <w:rsid w:val="050D4613"/>
    <w:rsid w:val="057D419D"/>
    <w:rsid w:val="065C0B7D"/>
    <w:rsid w:val="069F56DC"/>
    <w:rsid w:val="06E11AE9"/>
    <w:rsid w:val="07063CAB"/>
    <w:rsid w:val="07AD5E6F"/>
    <w:rsid w:val="07E34A3F"/>
    <w:rsid w:val="08570EF4"/>
    <w:rsid w:val="09420C01"/>
    <w:rsid w:val="097E7AC3"/>
    <w:rsid w:val="0A806CC6"/>
    <w:rsid w:val="0ACC161D"/>
    <w:rsid w:val="0AD81A38"/>
    <w:rsid w:val="0B0C1D12"/>
    <w:rsid w:val="0B47616D"/>
    <w:rsid w:val="0C3D7D20"/>
    <w:rsid w:val="0D157BAE"/>
    <w:rsid w:val="0D6362A6"/>
    <w:rsid w:val="0E325320"/>
    <w:rsid w:val="10217F1D"/>
    <w:rsid w:val="11674266"/>
    <w:rsid w:val="11F10593"/>
    <w:rsid w:val="1273042B"/>
    <w:rsid w:val="12EF4438"/>
    <w:rsid w:val="13316BC1"/>
    <w:rsid w:val="13C06F2A"/>
    <w:rsid w:val="143D7A24"/>
    <w:rsid w:val="14765EED"/>
    <w:rsid w:val="14AF636D"/>
    <w:rsid w:val="14EC68A6"/>
    <w:rsid w:val="150474D2"/>
    <w:rsid w:val="15C27852"/>
    <w:rsid w:val="16B9060B"/>
    <w:rsid w:val="16F476E0"/>
    <w:rsid w:val="17387E40"/>
    <w:rsid w:val="184945FA"/>
    <w:rsid w:val="19D31442"/>
    <w:rsid w:val="1A336DCA"/>
    <w:rsid w:val="1C43786D"/>
    <w:rsid w:val="1C9760A4"/>
    <w:rsid w:val="1CCE22DB"/>
    <w:rsid w:val="1CD31274"/>
    <w:rsid w:val="1CEB5018"/>
    <w:rsid w:val="1D7A26DD"/>
    <w:rsid w:val="1E0A4DAA"/>
    <w:rsid w:val="1E257C2D"/>
    <w:rsid w:val="1E421D2E"/>
    <w:rsid w:val="20672FDF"/>
    <w:rsid w:val="26286664"/>
    <w:rsid w:val="264D0F5A"/>
    <w:rsid w:val="26EE7200"/>
    <w:rsid w:val="27385901"/>
    <w:rsid w:val="28B44E58"/>
    <w:rsid w:val="2A3A313B"/>
    <w:rsid w:val="2A6160D4"/>
    <w:rsid w:val="2A7F3244"/>
    <w:rsid w:val="2AB6291A"/>
    <w:rsid w:val="2AFA0B1C"/>
    <w:rsid w:val="2C0E2AD1"/>
    <w:rsid w:val="2C245261"/>
    <w:rsid w:val="2D0755A0"/>
    <w:rsid w:val="2D256324"/>
    <w:rsid w:val="2D7626DC"/>
    <w:rsid w:val="2DE36082"/>
    <w:rsid w:val="2DE766DF"/>
    <w:rsid w:val="2E28703E"/>
    <w:rsid w:val="2ECD7BC4"/>
    <w:rsid w:val="2EDC2404"/>
    <w:rsid w:val="2EED207D"/>
    <w:rsid w:val="30B402AF"/>
    <w:rsid w:val="3104090C"/>
    <w:rsid w:val="31336556"/>
    <w:rsid w:val="33903D36"/>
    <w:rsid w:val="343E5F36"/>
    <w:rsid w:val="34E6283D"/>
    <w:rsid w:val="35500CBF"/>
    <w:rsid w:val="355F1294"/>
    <w:rsid w:val="36372989"/>
    <w:rsid w:val="36625797"/>
    <w:rsid w:val="36931421"/>
    <w:rsid w:val="37353A90"/>
    <w:rsid w:val="37A42A2A"/>
    <w:rsid w:val="382F797B"/>
    <w:rsid w:val="38F54AD0"/>
    <w:rsid w:val="39A3641F"/>
    <w:rsid w:val="39FB3CDF"/>
    <w:rsid w:val="3A3131A1"/>
    <w:rsid w:val="3C446528"/>
    <w:rsid w:val="3D2C1CF5"/>
    <w:rsid w:val="3DD74805"/>
    <w:rsid w:val="3E0B36C0"/>
    <w:rsid w:val="3E0B5931"/>
    <w:rsid w:val="3FF12096"/>
    <w:rsid w:val="40FE0F43"/>
    <w:rsid w:val="41961672"/>
    <w:rsid w:val="424C747E"/>
    <w:rsid w:val="429518E9"/>
    <w:rsid w:val="42BE57D3"/>
    <w:rsid w:val="42D03CDD"/>
    <w:rsid w:val="43A62AD6"/>
    <w:rsid w:val="44C2521B"/>
    <w:rsid w:val="46CD3E3E"/>
    <w:rsid w:val="46F920D7"/>
    <w:rsid w:val="478F7ED7"/>
    <w:rsid w:val="481F6B1F"/>
    <w:rsid w:val="48E064A0"/>
    <w:rsid w:val="49A37EA2"/>
    <w:rsid w:val="49AC4545"/>
    <w:rsid w:val="4AAF059D"/>
    <w:rsid w:val="4B5C7602"/>
    <w:rsid w:val="4C1E728D"/>
    <w:rsid w:val="4DEE0395"/>
    <w:rsid w:val="4DF20C9C"/>
    <w:rsid w:val="4F152E6B"/>
    <w:rsid w:val="4F381A8F"/>
    <w:rsid w:val="50084B0C"/>
    <w:rsid w:val="50504BB7"/>
    <w:rsid w:val="505C602E"/>
    <w:rsid w:val="50D0256E"/>
    <w:rsid w:val="51061491"/>
    <w:rsid w:val="51422839"/>
    <w:rsid w:val="52C928ED"/>
    <w:rsid w:val="53193489"/>
    <w:rsid w:val="53793538"/>
    <w:rsid w:val="53F27A08"/>
    <w:rsid w:val="542603BD"/>
    <w:rsid w:val="546C0BEA"/>
    <w:rsid w:val="54E22292"/>
    <w:rsid w:val="54FC3833"/>
    <w:rsid w:val="55830A0D"/>
    <w:rsid w:val="56066D9E"/>
    <w:rsid w:val="573C7056"/>
    <w:rsid w:val="581E5623"/>
    <w:rsid w:val="586E0370"/>
    <w:rsid w:val="58DD72E9"/>
    <w:rsid w:val="5904373F"/>
    <w:rsid w:val="599F7215"/>
    <w:rsid w:val="5A04249F"/>
    <w:rsid w:val="5A3A31B3"/>
    <w:rsid w:val="5C9F28EE"/>
    <w:rsid w:val="5D246CC6"/>
    <w:rsid w:val="5E6E102A"/>
    <w:rsid w:val="5F8E3006"/>
    <w:rsid w:val="5FFE018B"/>
    <w:rsid w:val="60342D54"/>
    <w:rsid w:val="611B2352"/>
    <w:rsid w:val="61E978B7"/>
    <w:rsid w:val="628A3F58"/>
    <w:rsid w:val="62A3501A"/>
    <w:rsid w:val="62D13935"/>
    <w:rsid w:val="64E517E3"/>
    <w:rsid w:val="65FA7011"/>
    <w:rsid w:val="66F707C1"/>
    <w:rsid w:val="675773BD"/>
    <w:rsid w:val="68B27EEE"/>
    <w:rsid w:val="69017896"/>
    <w:rsid w:val="6B8B6553"/>
    <w:rsid w:val="6BF56B62"/>
    <w:rsid w:val="6C580C23"/>
    <w:rsid w:val="6C6B6BA9"/>
    <w:rsid w:val="6C974E8B"/>
    <w:rsid w:val="6CF509AA"/>
    <w:rsid w:val="6D9A218A"/>
    <w:rsid w:val="6E66587A"/>
    <w:rsid w:val="6EFC7023"/>
    <w:rsid w:val="702E553E"/>
    <w:rsid w:val="715C11B6"/>
    <w:rsid w:val="729507AE"/>
    <w:rsid w:val="72FB2DC4"/>
    <w:rsid w:val="73893DB8"/>
    <w:rsid w:val="74ED1CA8"/>
    <w:rsid w:val="754E7067"/>
    <w:rsid w:val="755D5CCB"/>
    <w:rsid w:val="75EE17D5"/>
    <w:rsid w:val="76832D41"/>
    <w:rsid w:val="76C34592"/>
    <w:rsid w:val="7778345E"/>
    <w:rsid w:val="7807171E"/>
    <w:rsid w:val="788D751A"/>
    <w:rsid w:val="7890741E"/>
    <w:rsid w:val="78DC6D21"/>
    <w:rsid w:val="79291DC7"/>
    <w:rsid w:val="79782905"/>
    <w:rsid w:val="79AD2256"/>
    <w:rsid w:val="79BF69E3"/>
    <w:rsid w:val="7A761CA6"/>
    <w:rsid w:val="7AF43C7F"/>
    <w:rsid w:val="7B8A1910"/>
    <w:rsid w:val="7BD227A0"/>
    <w:rsid w:val="7BEE5100"/>
    <w:rsid w:val="7D1260EF"/>
    <w:rsid w:val="7E3711BB"/>
    <w:rsid w:val="7E6E1636"/>
    <w:rsid w:val="7E866349"/>
    <w:rsid w:val="7F3B4D56"/>
    <w:rsid w:val="7F440568"/>
    <w:rsid w:val="7FD35BFF"/>
    <w:rsid w:val="7FD572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kern w:val="0"/>
      <w:szCs w:val="24"/>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link w:val="38"/>
    <w:semiHidden/>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0"/>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1"/>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0"/>
    <w:rPr>
      <w:sz w:val="18"/>
      <w:szCs w:val="18"/>
    </w:rPr>
  </w:style>
  <w:style w:type="character" w:customStyle="1" w:styleId="27">
    <w:name w:val="标题 1 Char"/>
    <w:basedOn w:val="21"/>
    <w:link w:val="3"/>
    <w:qFormat/>
    <w:uiPriority w:val="9"/>
    <w:rPr>
      <w:rFonts w:ascii="Times New Roman" w:hAnsi="Times New Roman" w:eastAsia="宋体" w:cs="Times New Roman"/>
      <w:b/>
      <w:bCs/>
      <w:kern w:val="44"/>
      <w:sz w:val="44"/>
      <w:szCs w:val="44"/>
    </w:rPr>
  </w:style>
  <w:style w:type="character" w:customStyle="1" w:styleId="28">
    <w:name w:val="标题 2 Char"/>
    <w:basedOn w:val="21"/>
    <w:link w:val="4"/>
    <w:qFormat/>
    <w:uiPriority w:val="9"/>
    <w:rPr>
      <w:rFonts w:asciiTheme="majorHAnsi" w:hAnsiTheme="majorHAnsi" w:eastAsiaTheme="majorEastAsia" w:cstheme="majorBidi"/>
      <w:b/>
      <w:bCs/>
      <w:sz w:val="32"/>
      <w:szCs w:val="32"/>
    </w:rPr>
  </w:style>
  <w:style w:type="character" w:customStyle="1" w:styleId="29">
    <w:name w:val="标题 3 Char"/>
    <w:basedOn w:val="21"/>
    <w:link w:val="5"/>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7"/>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微软雅黑"/>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微软雅黑" w:hAnsi="微软雅黑" w:eastAsia="微软雅黑" w:cs="微软雅黑"/>
      <w:color w:val="000000"/>
      <w:sz w:val="52"/>
      <w:szCs w:val="52"/>
      <w:u w:val="single"/>
    </w:rPr>
  </w:style>
  <w:style w:type="character" w:customStyle="1" w:styleId="42">
    <w:name w:val="font61"/>
    <w:basedOn w:val="21"/>
    <w:qFormat/>
    <w:uiPriority w:val="0"/>
    <w:rPr>
      <w:rFonts w:hint="eastAsia" w:ascii="微软雅黑" w:hAnsi="微软雅黑" w:eastAsia="微软雅黑" w:cs="微软雅黑"/>
      <w:i/>
      <w:iCs/>
      <w:color w:val="000000"/>
      <w:sz w:val="52"/>
      <w:szCs w:val="52"/>
      <w:u w:val="single"/>
    </w:rPr>
  </w:style>
  <w:style w:type="character" w:customStyle="1" w:styleId="43">
    <w:name w:val="font41"/>
    <w:basedOn w:val="21"/>
    <w:qFormat/>
    <w:uiPriority w:val="0"/>
    <w:rPr>
      <w:rFonts w:hint="eastAsia" w:ascii="微软雅黑" w:hAnsi="微软雅黑" w:eastAsia="微软雅黑" w:cs="微软雅黑"/>
      <w:color w:val="000000"/>
      <w:sz w:val="52"/>
      <w:szCs w:val="52"/>
      <w:u w:val="none"/>
    </w:rPr>
  </w:style>
  <w:style w:type="character" w:customStyle="1" w:styleId="4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2052"/>
    <customShpInfo spid="_x0000_s2053"/>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476</Words>
  <Characters>2716</Characters>
  <Lines>22</Lines>
  <Paragraphs>6</Paragraphs>
  <TotalTime>15</TotalTime>
  <ScaleCrop>false</ScaleCrop>
  <LinksUpToDate>false</LinksUpToDate>
  <CharactersWithSpaces>3186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2023-10-08T00:35:00Z</dcterms:created>
  <dc:creator>微软用户</dc:creator>
  <cp:lastModifiedBy>likerong</cp:lastModifiedBy>
  <cp:lastPrinted>2023-07-21T08:18:00Z</cp:lastPrinted>
  <dcterms:modified xsi:type="dcterms:W3CDTF">2023-11-15T02:55:22Z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F698B774F3DE4949A98ED635515CFBE9</vt:lpwstr>
  </property>
</Properties>
</file>