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hAnsi="等线" w:eastAsia="方正小标宋简体" w:cs="Times New Roman"/>
          <w:kern w:val="2"/>
          <w:sz w:val="44"/>
          <w:szCs w:val="44"/>
        </w:rPr>
      </w:pPr>
      <w:r>
        <w:rPr>
          <w:rFonts w:hint="eastAsia" w:ascii="方正小标宋简体" w:hAnsi="等线" w:eastAsia="方正小标宋简体" w:cs="Times New Roman"/>
          <w:kern w:val="2"/>
          <w:sz w:val="44"/>
          <w:szCs w:val="44"/>
        </w:rPr>
        <w:t>采购参数说明书</w:t>
      </w:r>
    </w:p>
    <w:p>
      <w:pPr>
        <w:spacing w:line="520" w:lineRule="exact"/>
        <w:outlineLvl w:val="0"/>
        <w:rPr>
          <w:rFonts w:ascii="仿宋" w:hAnsi="仿宋" w:eastAsia="仿宋" w:cs="Times New Roman"/>
          <w:sz w:val="30"/>
          <w:szCs w:val="30"/>
        </w:rPr>
      </w:pPr>
      <w:r>
        <w:rPr>
          <w:rFonts w:hint="eastAsia" w:ascii="方正小标宋简体" w:hAnsi="仿宋" w:eastAsia="方正小标宋简体" w:cs="Times New Roman"/>
          <w:kern w:val="2"/>
          <w:sz w:val="30"/>
          <w:szCs w:val="30"/>
        </w:rPr>
        <w:t>一、项目名称：大型科教仪器设备共享管理平台</w:t>
      </w:r>
    </w:p>
    <w:p>
      <w:pPr>
        <w:spacing w:line="560" w:lineRule="exact"/>
        <w:outlineLvl w:val="0"/>
        <w:rPr>
          <w:rFonts w:ascii="方正小标宋简体" w:hAnsi="仿宋" w:eastAsia="方正小标宋简体" w:cs="Times New Roman"/>
          <w:kern w:val="2"/>
          <w:sz w:val="32"/>
          <w:szCs w:val="32"/>
        </w:rPr>
      </w:pPr>
      <w:r>
        <w:rPr>
          <w:rFonts w:hint="eastAsia" w:ascii="方正小标宋简体" w:hAnsi="仿宋" w:eastAsia="方正小标宋简体" w:cs="Times New Roman"/>
          <w:kern w:val="2"/>
          <w:sz w:val="32"/>
          <w:szCs w:val="32"/>
        </w:rPr>
        <w:t>二、最高限价（或项目预算）：2489982.93</w:t>
      </w:r>
      <w:r>
        <w:rPr>
          <w:rFonts w:ascii="方正小标宋简体" w:hAnsi="仿宋" w:eastAsia="方正小标宋简体" w:cs="Times New Roman"/>
          <w:kern w:val="2"/>
          <w:sz w:val="32"/>
          <w:szCs w:val="32"/>
        </w:rPr>
        <w:t>元</w:t>
      </w:r>
    </w:p>
    <w:p>
      <w:pPr>
        <w:spacing w:line="560" w:lineRule="exact"/>
        <w:outlineLvl w:val="0"/>
        <w:rPr>
          <w:rFonts w:ascii="方正小标宋简体" w:hAnsi="仿宋" w:eastAsia="方正小标宋简体" w:cs="Times New Roman"/>
          <w:kern w:val="2"/>
          <w:sz w:val="32"/>
          <w:szCs w:val="32"/>
        </w:rPr>
      </w:pPr>
      <w:r>
        <w:rPr>
          <w:rFonts w:hint="eastAsia" w:ascii="方正小标宋简体" w:hAnsi="仿宋" w:eastAsia="方正小标宋简体" w:cs="Times New Roman"/>
          <w:kern w:val="2"/>
          <w:sz w:val="32"/>
          <w:szCs w:val="32"/>
        </w:rPr>
        <w:t>三、采购项目需求</w:t>
      </w:r>
    </w:p>
    <w:p>
      <w:pPr>
        <w:spacing w:line="560" w:lineRule="exact"/>
        <w:outlineLvl w:val="1"/>
        <w:rPr>
          <w:rFonts w:ascii="仿宋_GB2312" w:hAnsi="宋体" w:eastAsia="仿宋_GB2312" w:cs="Times New Roman"/>
          <w:b/>
          <w:bCs/>
          <w:sz w:val="32"/>
          <w:szCs w:val="32"/>
        </w:rPr>
      </w:pPr>
      <w:r>
        <w:rPr>
          <w:rFonts w:hint="eastAsia" w:ascii="仿宋_GB2312" w:hAnsi="宋体" w:eastAsia="仿宋_GB2312" w:cs="Times New Roman"/>
          <w:b/>
          <w:bCs/>
          <w:sz w:val="32"/>
          <w:szCs w:val="32"/>
        </w:rPr>
        <w:t>（一）技术要求</w:t>
      </w:r>
    </w:p>
    <w:p>
      <w:pPr>
        <w:spacing w:line="560" w:lineRule="exact"/>
        <w:ind w:firstLine="643" w:firstLineChars="200"/>
        <w:outlineLvl w:val="2"/>
        <w:rPr>
          <w:rFonts w:ascii="仿宋_GB2312" w:hAnsi="宋体" w:eastAsia="仿宋_GB2312" w:cs="Times New Roman"/>
          <w:b/>
          <w:bCs/>
          <w:sz w:val="32"/>
          <w:szCs w:val="32"/>
        </w:rPr>
      </w:pPr>
      <w:r>
        <w:rPr>
          <w:rFonts w:ascii="仿宋_GB2312" w:hAnsi="宋体" w:eastAsia="仿宋_GB2312" w:cs="Times New Roman"/>
          <w:b/>
          <w:bCs/>
          <w:sz w:val="32"/>
          <w:szCs w:val="32"/>
        </w:rPr>
        <w:t>1.功能目标</w:t>
      </w:r>
    </w:p>
    <w:tbl>
      <w:tblPr>
        <w:tblStyle w:val="18"/>
        <w:tblW w:w="4972" w:type="pct"/>
        <w:tblInd w:w="0" w:type="dxa"/>
        <w:tblLayout w:type="fixed"/>
        <w:tblCellMar>
          <w:top w:w="0" w:type="dxa"/>
          <w:left w:w="108" w:type="dxa"/>
          <w:bottom w:w="0" w:type="dxa"/>
          <w:right w:w="108" w:type="dxa"/>
        </w:tblCellMar>
      </w:tblPr>
      <w:tblGrid>
        <w:gridCol w:w="437"/>
        <w:gridCol w:w="824"/>
        <w:gridCol w:w="6858"/>
        <w:gridCol w:w="890"/>
      </w:tblGrid>
      <w:tr>
        <w:tblPrEx>
          <w:tblCellMar>
            <w:top w:w="0" w:type="dxa"/>
            <w:left w:w="108" w:type="dxa"/>
            <w:bottom w:w="0" w:type="dxa"/>
            <w:right w:w="108" w:type="dxa"/>
          </w:tblCellMar>
        </w:tblPrEx>
        <w:trPr>
          <w:trHeight w:val="726" w:hRule="atLeast"/>
          <w:tblHeader/>
        </w:trPr>
        <w:tc>
          <w:tcPr>
            <w:tcW w:w="24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仿宋_GB2312" w:hAnsi="仿宋_GB2312" w:eastAsia="仿宋_GB2312" w:cs="仿宋_GB2312"/>
                <w:b/>
                <w:bCs/>
                <w:sz w:val="21"/>
              </w:rPr>
            </w:pPr>
            <w:r>
              <w:rPr>
                <w:rFonts w:hint="eastAsia" w:ascii="仿宋_GB2312" w:hAnsi="仿宋_GB2312" w:eastAsia="仿宋_GB2312" w:cs="仿宋_GB2312"/>
                <w:b/>
                <w:bCs/>
                <w:sz w:val="21"/>
              </w:rPr>
              <w:t>序号</w:t>
            </w:r>
          </w:p>
        </w:tc>
        <w:tc>
          <w:tcPr>
            <w:tcW w:w="457"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项目名称</w:t>
            </w:r>
          </w:p>
        </w:tc>
        <w:tc>
          <w:tcPr>
            <w:tcW w:w="380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需要实现的功能或者目标</w:t>
            </w:r>
          </w:p>
        </w:tc>
        <w:tc>
          <w:tcPr>
            <w:tcW w:w="49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备注</w:t>
            </w:r>
          </w:p>
        </w:tc>
      </w:tr>
      <w:tr>
        <w:tblPrEx>
          <w:tblCellMar>
            <w:top w:w="0" w:type="dxa"/>
            <w:left w:w="108" w:type="dxa"/>
            <w:bottom w:w="0" w:type="dxa"/>
            <w:right w:w="108" w:type="dxa"/>
          </w:tblCellMar>
        </w:tblPrEx>
        <w:trPr>
          <w:trHeight w:val="90" w:hRule="atLeast"/>
        </w:trPr>
        <w:tc>
          <w:tcPr>
            <w:tcW w:w="242" w:type="pct"/>
            <w:tcBorders>
              <w:top w:val="single" w:color="auto" w:sz="4" w:space="0"/>
              <w:left w:val="single" w:color="auto" w:sz="4" w:space="0"/>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320" w:lineRule="exact"/>
              <w:ind w:firstLine="420" w:firstLineChars="200"/>
              <w:jc w:val="center"/>
              <w:rPr>
                <w:rFonts w:ascii="仿宋_GB2312" w:hAnsi="仿宋_GB2312" w:eastAsia="仿宋_GB2312" w:cs="仿宋_GB2312"/>
                <w:kern w:val="2"/>
                <w:sz w:val="21"/>
              </w:rPr>
            </w:pPr>
            <w:r>
              <w:rPr>
                <w:rFonts w:ascii="仿宋_GB2312" w:hAnsi="仿宋_GB2312" w:eastAsia="仿宋_GB2312" w:cs="仿宋_GB2312"/>
                <w:kern w:val="2"/>
                <w:sz w:val="21"/>
              </w:rPr>
              <w:t>11</w:t>
            </w:r>
          </w:p>
        </w:tc>
        <w:tc>
          <w:tcPr>
            <w:tcW w:w="457" w:type="pct"/>
            <w:tcBorders>
              <w:top w:val="single" w:color="auto" w:sz="4" w:space="0"/>
              <w:left w:val="nil"/>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2"/>
                <w:sz w:val="21"/>
              </w:rPr>
            </w:pPr>
            <w:r>
              <w:rPr>
                <w:rFonts w:hint="eastAsia" w:ascii="仿宋_GB2312" w:hAnsi="仿宋_GB2312" w:eastAsia="仿宋_GB2312" w:cs="仿宋_GB2312"/>
                <w:kern w:val="2"/>
                <w:sz w:val="21"/>
              </w:rPr>
              <w:t>大型科教仪器设备共享管理平台</w:t>
            </w:r>
          </w:p>
        </w:tc>
        <w:tc>
          <w:tcPr>
            <w:tcW w:w="3804" w:type="pct"/>
            <w:tcBorders>
              <w:top w:val="single" w:color="auto" w:sz="4" w:space="0"/>
              <w:left w:val="nil"/>
              <w:bottom w:val="single" w:color="auto" w:sz="4" w:space="0"/>
              <w:right w:val="single" w:color="auto" w:sz="4" w:space="0"/>
            </w:tcBorders>
            <w:noWrap/>
            <w:vAlign w:val="center"/>
          </w:tcPr>
          <w:p>
            <w:pPr>
              <w:pBdr>
                <w:top w:val="none" w:color="auto" w:sz="0" w:space="1"/>
                <w:left w:val="none" w:color="auto" w:sz="0" w:space="4"/>
                <w:bottom w:val="none" w:color="auto" w:sz="0" w:space="1"/>
                <w:right w:val="none" w:color="auto" w:sz="0" w:space="4"/>
              </w:pBdr>
              <w:spacing w:line="320" w:lineRule="exact"/>
              <w:rPr>
                <w:rFonts w:ascii="仿宋_GB2312" w:hAnsi="仿宋_GB2312" w:eastAsia="仿宋_GB2312" w:cs="仿宋_GB2312"/>
                <w:kern w:val="2"/>
                <w:sz w:val="21"/>
              </w:rPr>
            </w:pPr>
            <w:r>
              <w:rPr>
                <w:rFonts w:hint="eastAsia" w:ascii="仿宋_GB2312" w:hAnsi="仿宋_GB2312" w:eastAsia="仿宋_GB2312" w:cs="仿宋_GB2312"/>
                <w:kern w:val="2"/>
                <w:sz w:val="21"/>
              </w:rPr>
              <w:t>以现有的大学服务流程为引导，借助物联网智能控制电源、实验室智能门禁、物联网有源标签等硬</w:t>
            </w:r>
            <w:bookmarkStart w:id="1" w:name="_GoBack"/>
            <w:bookmarkEnd w:id="1"/>
            <w:r>
              <w:rPr>
                <w:rFonts w:hint="eastAsia" w:ascii="仿宋_GB2312" w:hAnsi="仿宋_GB2312" w:eastAsia="仿宋_GB2312" w:cs="仿宋_GB2312"/>
                <w:kern w:val="2"/>
                <w:sz w:val="21"/>
              </w:rPr>
              <w:t>件，结合智能化软件，建立一套大型科教仪器设备共享管理平台，对大学大型仪器设备的信息和资源进行全面整合，实现对大型仪器设备的信息管理、分类共享预约、规范使用流程及实验数据集中存储等功能，实现对大学大型仪器设备的监管。</w:t>
            </w:r>
          </w:p>
        </w:tc>
        <w:tc>
          <w:tcPr>
            <w:tcW w:w="494"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仿宋_GB2312" w:hAnsi="仿宋_GB2312" w:eastAsia="仿宋_GB2312" w:cs="仿宋_GB2312"/>
                <w:sz w:val="21"/>
              </w:rPr>
            </w:pPr>
          </w:p>
        </w:tc>
      </w:tr>
    </w:tbl>
    <w:p>
      <w:pPr>
        <w:spacing w:line="560" w:lineRule="exact"/>
        <w:ind w:firstLine="643" w:firstLineChars="200"/>
        <w:outlineLvl w:val="2"/>
        <w:rPr>
          <w:rFonts w:ascii="仿宋_GB2312" w:hAnsi="仿宋_GB2312" w:eastAsia="仿宋_GB2312" w:cs="仿宋_GB2312"/>
          <w:b/>
          <w:bCs/>
          <w:sz w:val="21"/>
        </w:rPr>
      </w:pPr>
      <w:r>
        <w:rPr>
          <w:rFonts w:ascii="仿宋_GB2312" w:hAnsi="仿宋" w:eastAsia="仿宋_GB2312" w:cs="Times New Roman"/>
          <w:b/>
          <w:bCs/>
          <w:kern w:val="2"/>
          <w:sz w:val="32"/>
          <w:szCs w:val="32"/>
        </w:rPr>
        <w:t>2.适用标准</w:t>
      </w:r>
    </w:p>
    <w:tbl>
      <w:tblPr>
        <w:tblStyle w:val="18"/>
        <w:tblW w:w="5000" w:type="pct"/>
        <w:tblInd w:w="0" w:type="dxa"/>
        <w:tblLayout w:type="fixed"/>
        <w:tblCellMar>
          <w:top w:w="0" w:type="dxa"/>
          <w:left w:w="108" w:type="dxa"/>
          <w:bottom w:w="0" w:type="dxa"/>
          <w:right w:w="108" w:type="dxa"/>
        </w:tblCellMar>
      </w:tblPr>
      <w:tblGrid>
        <w:gridCol w:w="438"/>
        <w:gridCol w:w="826"/>
        <w:gridCol w:w="959"/>
        <w:gridCol w:w="1384"/>
        <w:gridCol w:w="1187"/>
        <w:gridCol w:w="1977"/>
        <w:gridCol w:w="1533"/>
        <w:gridCol w:w="756"/>
      </w:tblGrid>
      <w:tr>
        <w:trPr>
          <w:trHeight w:val="836" w:hRule="atLeast"/>
          <w:tblHeader/>
        </w:trPr>
        <w:tc>
          <w:tcPr>
            <w:tcW w:w="24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仿宋_GB2312" w:hAnsi="仿宋_GB2312" w:eastAsia="仿宋_GB2312" w:cs="仿宋_GB2312"/>
                <w:b/>
                <w:bCs/>
                <w:sz w:val="21"/>
              </w:rPr>
            </w:pPr>
            <w:r>
              <w:rPr>
                <w:rFonts w:hint="eastAsia" w:ascii="仿宋_GB2312" w:hAnsi="仿宋_GB2312" w:eastAsia="仿宋_GB2312" w:cs="仿宋_GB2312"/>
                <w:b/>
                <w:bCs/>
                <w:sz w:val="21"/>
              </w:rPr>
              <w:t>序号</w:t>
            </w:r>
          </w:p>
        </w:tc>
        <w:tc>
          <w:tcPr>
            <w:tcW w:w="456"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标准号</w:t>
            </w:r>
          </w:p>
        </w:tc>
        <w:tc>
          <w:tcPr>
            <w:tcW w:w="52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标准</w:t>
            </w:r>
          </w:p>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名称</w:t>
            </w:r>
          </w:p>
        </w:tc>
        <w:tc>
          <w:tcPr>
            <w:tcW w:w="76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标准级别</w:t>
            </w:r>
          </w:p>
        </w:tc>
        <w:tc>
          <w:tcPr>
            <w:tcW w:w="655"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标准性质</w:t>
            </w:r>
          </w:p>
        </w:tc>
        <w:tc>
          <w:tcPr>
            <w:tcW w:w="1091"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适用范围</w:t>
            </w:r>
          </w:p>
        </w:tc>
        <w:tc>
          <w:tcPr>
            <w:tcW w:w="846"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代码含义</w:t>
            </w:r>
          </w:p>
        </w:tc>
        <w:tc>
          <w:tcPr>
            <w:tcW w:w="417"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其他</w:t>
            </w:r>
          </w:p>
        </w:tc>
      </w:tr>
      <w:tr>
        <w:tblPrEx>
          <w:tblCellMar>
            <w:top w:w="0" w:type="dxa"/>
            <w:left w:w="108" w:type="dxa"/>
            <w:bottom w:w="0" w:type="dxa"/>
            <w:right w:w="108" w:type="dxa"/>
          </w:tblCellMar>
        </w:tblPrEx>
        <w:trPr>
          <w:trHeight w:val="1310" w:hRule="atLeast"/>
        </w:trPr>
        <w:tc>
          <w:tcPr>
            <w:tcW w:w="242"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1</w:t>
            </w:r>
          </w:p>
        </w:tc>
        <w:tc>
          <w:tcPr>
            <w:tcW w:w="456"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GB/T19001-2000 IDT ISO9001:2000</w:t>
            </w:r>
          </w:p>
        </w:tc>
        <w:tc>
          <w:tcPr>
            <w:tcW w:w="529"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质量管理体系</w:t>
            </w:r>
            <w:r>
              <w:rPr>
                <w:rFonts w:ascii="仿宋_GB2312" w:hAnsi="仿宋_GB2312" w:eastAsia="仿宋_GB2312" w:cs="仿宋_GB2312"/>
                <w:sz w:val="21"/>
              </w:rPr>
              <w:t xml:space="preserve"> </w:t>
            </w:r>
            <w:r>
              <w:rPr>
                <w:rFonts w:hint="eastAsia" w:ascii="仿宋_GB2312" w:hAnsi="仿宋_GB2312" w:eastAsia="仿宋_GB2312" w:cs="仿宋_GB2312"/>
                <w:sz w:val="21"/>
              </w:rPr>
              <w:t>要求</w:t>
            </w:r>
          </w:p>
        </w:tc>
        <w:tc>
          <w:tcPr>
            <w:tcW w:w="764"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国家标准</w:t>
            </w:r>
            <w:r>
              <w:rPr>
                <w:rFonts w:ascii="仿宋_GB2312" w:hAnsi="仿宋_GB2312" w:eastAsia="仿宋_GB2312" w:cs="仿宋_GB2312"/>
                <w:sz w:val="21"/>
              </w:rPr>
              <w:t>☑</w:t>
            </w:r>
          </w:p>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军用标准</w:t>
            </w:r>
            <w:r>
              <w:rPr>
                <w:rFonts w:ascii="仿宋_GB2312" w:hAnsi="仿宋_GB2312" w:eastAsia="仿宋_GB2312" w:cs="仿宋_GB2312"/>
                <w:sz w:val="21"/>
              </w:rPr>
              <w:t>☐</w:t>
            </w:r>
            <w:r>
              <w:rPr>
                <w:rFonts w:ascii="仿宋_GB2312" w:hAnsi="仿宋_GB2312" w:eastAsia="仿宋_GB2312" w:cs="仿宋_GB2312"/>
                <w:sz w:val="21"/>
              </w:rPr>
              <w:br w:type="textWrapping"/>
            </w:r>
            <w:r>
              <w:rPr>
                <w:rFonts w:hint="eastAsia" w:ascii="仿宋_GB2312" w:hAnsi="仿宋_GB2312" w:eastAsia="仿宋_GB2312" w:cs="仿宋_GB2312"/>
                <w:sz w:val="21"/>
              </w:rPr>
              <w:t>行业标准</w:t>
            </w:r>
            <w:r>
              <w:rPr>
                <w:rFonts w:ascii="仿宋_GB2312" w:hAnsi="仿宋_GB2312" w:eastAsia="仿宋_GB2312" w:cs="仿宋_GB2312"/>
                <w:sz w:val="21"/>
              </w:rPr>
              <w:t>☐</w:t>
            </w:r>
            <w:r>
              <w:rPr>
                <w:rFonts w:ascii="仿宋_GB2312" w:hAnsi="仿宋_GB2312" w:eastAsia="仿宋_GB2312" w:cs="仿宋_GB2312"/>
                <w:sz w:val="21"/>
              </w:rPr>
              <w:br w:type="textWrapping"/>
            </w:r>
            <w:r>
              <w:rPr>
                <w:rFonts w:hint="eastAsia" w:ascii="仿宋_GB2312" w:hAnsi="仿宋_GB2312" w:eastAsia="仿宋_GB2312" w:cs="仿宋_GB2312"/>
                <w:sz w:val="21"/>
              </w:rPr>
              <w:t>地方标准及其他标准规范</w:t>
            </w:r>
            <w:r>
              <w:rPr>
                <w:rFonts w:ascii="仿宋_GB2312" w:hAnsi="仿宋_GB2312" w:eastAsia="仿宋_GB2312" w:cs="仿宋_GB2312"/>
                <w:sz w:val="21"/>
              </w:rPr>
              <w:t xml:space="preserve">      ☐</w:t>
            </w:r>
          </w:p>
        </w:tc>
        <w:tc>
          <w:tcPr>
            <w:tcW w:w="655" w:type="pct"/>
            <w:tcBorders>
              <w:top w:val="single" w:color="auto" w:sz="4" w:space="0"/>
              <w:left w:val="nil"/>
              <w:bottom w:val="single" w:color="auto" w:sz="4" w:space="0"/>
              <w:right w:val="single" w:color="auto" w:sz="4" w:space="0"/>
            </w:tcBorders>
            <w:noWrap/>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强制性□</w:t>
            </w:r>
            <w:r>
              <w:rPr>
                <w:rFonts w:ascii="仿宋_GB2312" w:hAnsi="仿宋_GB2312" w:eastAsia="仿宋_GB2312" w:cs="仿宋_GB2312"/>
                <w:sz w:val="21"/>
              </w:rPr>
              <w:br w:type="textWrapping"/>
            </w:r>
            <w:r>
              <w:rPr>
                <w:rFonts w:hint="eastAsia" w:ascii="仿宋_GB2312" w:hAnsi="仿宋_GB2312" w:eastAsia="仿宋_GB2312" w:cs="仿宋_GB2312"/>
                <w:sz w:val="21"/>
              </w:rPr>
              <w:t>推荐性</w:t>
            </w:r>
            <w:r>
              <w:rPr>
                <w:rFonts w:ascii="仿宋_GB2312" w:hAnsi="仿宋_GB2312" w:eastAsia="仿宋_GB2312" w:cs="仿宋_GB2312"/>
                <w:sz w:val="21"/>
              </w:rPr>
              <w:t>☑</w:t>
            </w:r>
          </w:p>
        </w:tc>
        <w:tc>
          <w:tcPr>
            <w:tcW w:w="1091"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仿宋_GB2312" w:hAnsi="仿宋_GB2312" w:eastAsia="仿宋_GB2312" w:cs="仿宋_GB2312"/>
                <w:sz w:val="21"/>
              </w:rPr>
            </w:pPr>
            <w:r>
              <w:rPr>
                <w:rFonts w:hint="eastAsia" w:ascii="仿宋_GB2312" w:hAnsi="仿宋_GB2312" w:eastAsia="仿宋_GB2312" w:cs="仿宋_GB2312"/>
                <w:sz w:val="21"/>
              </w:rPr>
              <w:t>该标准为下列组织规定了质量管理体系要求：</w:t>
            </w:r>
          </w:p>
          <w:p>
            <w:pPr>
              <w:widowControl/>
              <w:spacing w:line="320" w:lineRule="exact"/>
              <w:jc w:val="left"/>
              <w:rPr>
                <w:rFonts w:ascii="仿宋_GB2312" w:hAnsi="仿宋_GB2312" w:eastAsia="仿宋_GB2312" w:cs="仿宋_GB2312"/>
                <w:sz w:val="21"/>
              </w:rPr>
            </w:pPr>
            <w:r>
              <w:rPr>
                <w:rFonts w:ascii="仿宋_GB2312" w:hAnsi="仿宋_GB2312" w:eastAsia="仿宋_GB2312" w:cs="仿宋_GB2312"/>
                <w:sz w:val="21"/>
              </w:rPr>
              <w:t>a）需要证实其具有稳定提供满足顾客要求及适用法律法规要求的产品和服务的能力；</w:t>
            </w:r>
          </w:p>
          <w:p>
            <w:pPr>
              <w:widowControl/>
              <w:spacing w:line="320" w:lineRule="exact"/>
              <w:jc w:val="left"/>
              <w:rPr>
                <w:rFonts w:ascii="仿宋_GB2312" w:hAnsi="仿宋_GB2312" w:eastAsia="仿宋_GB2312" w:cs="仿宋_GB2312"/>
                <w:sz w:val="21"/>
              </w:rPr>
            </w:pPr>
            <w:r>
              <w:rPr>
                <w:rFonts w:ascii="仿宋_GB2312" w:hAnsi="仿宋_GB2312" w:eastAsia="仿宋_GB2312" w:cs="仿宋_GB2312"/>
                <w:sz w:val="21"/>
              </w:rPr>
              <w:t>b）通过体系的有效应用，包括体系改进的过程，以及保证符合顾客要求和适用的法律法规要求，旨在增强顾客满意。</w:t>
            </w:r>
          </w:p>
        </w:tc>
        <w:tc>
          <w:tcPr>
            <w:tcW w:w="846"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仿宋_GB2312" w:hAnsi="仿宋_GB2312" w:eastAsia="仿宋_GB2312" w:cs="仿宋_GB2312"/>
                <w:sz w:val="21"/>
              </w:rPr>
            </w:pPr>
            <w:r>
              <w:rPr>
                <w:rFonts w:hint="eastAsia" w:ascii="仿宋_GB2312" w:hAnsi="仿宋_GB2312" w:eastAsia="仿宋_GB2312" w:cs="仿宋_GB2312"/>
                <w:sz w:val="21"/>
              </w:rPr>
              <w:t>编号由国家标准的代号</w:t>
            </w:r>
            <w:r>
              <w:rPr>
                <w:rFonts w:ascii="仿宋_GB2312" w:hAnsi="仿宋_GB2312" w:eastAsia="仿宋_GB2312" w:cs="仿宋_GB2312"/>
                <w:sz w:val="21"/>
              </w:rPr>
              <w:t>(GB/T)+国家标准发布的顺序号(19001)+国家标准发布的年号(2000)构成。采标ISO9001</w:t>
            </w:r>
          </w:p>
        </w:tc>
        <w:tc>
          <w:tcPr>
            <w:tcW w:w="417" w:type="pct"/>
            <w:tcBorders>
              <w:top w:val="single" w:color="auto" w:sz="4" w:space="0"/>
              <w:left w:val="nil"/>
              <w:bottom w:val="single" w:color="auto" w:sz="4" w:space="0"/>
              <w:right w:val="single" w:color="auto" w:sz="4" w:space="0"/>
            </w:tcBorders>
            <w:noWrap/>
            <w:vAlign w:val="center"/>
          </w:tcPr>
          <w:p>
            <w:pPr>
              <w:widowControl/>
              <w:spacing w:line="320" w:lineRule="exact"/>
              <w:jc w:val="left"/>
              <w:rPr>
                <w:rFonts w:ascii="仿宋_GB2312" w:hAnsi="仿宋_GB2312" w:eastAsia="仿宋_GB2312" w:cs="仿宋_GB2312"/>
                <w:sz w:val="21"/>
              </w:rPr>
            </w:pPr>
          </w:p>
        </w:tc>
      </w:tr>
    </w:tbl>
    <w:p>
      <w:pPr>
        <w:spacing w:line="560" w:lineRule="exact"/>
        <w:ind w:firstLine="640" w:firstLineChars="200"/>
        <w:outlineLvl w:val="2"/>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3.技术指标和服务要求</w:t>
      </w:r>
    </w:p>
    <w:p>
      <w:pPr>
        <w:spacing w:line="579" w:lineRule="exact"/>
        <w:ind w:firstLine="640" w:firstLineChars="200"/>
        <w:rPr>
          <w:rFonts w:ascii="仿宋_GB2312" w:hAnsi="仿宋" w:eastAsia="仿宋_GB2312" w:cs="宋体"/>
          <w:kern w:val="2"/>
          <w:sz w:val="32"/>
          <w:szCs w:val="32"/>
        </w:rPr>
      </w:pPr>
      <w:r>
        <w:rPr>
          <w:rFonts w:hint="eastAsia" w:ascii="仿宋_GB2312" w:hAnsi="仿宋" w:eastAsia="仿宋_GB2312" w:cs="宋体"/>
          <w:kern w:val="2"/>
          <w:sz w:val="32"/>
          <w:szCs w:val="32"/>
        </w:rPr>
        <w:t>本次建设范围涵盖大学本部</w:t>
      </w:r>
      <w:r>
        <w:rPr>
          <w:rFonts w:ascii="仿宋_GB2312" w:hAnsi="仿宋" w:eastAsia="仿宋_GB2312" w:cs="宋体"/>
          <w:kern w:val="2"/>
          <w:sz w:val="32"/>
          <w:szCs w:val="32"/>
        </w:rPr>
        <w:t>7个院系，38个教研室，约270台大型仪器设备。建设内容包括：</w:t>
      </w:r>
    </w:p>
    <w:p>
      <w:pPr>
        <w:spacing w:line="579" w:lineRule="exact"/>
        <w:ind w:firstLine="640" w:firstLineChars="200"/>
        <w:rPr>
          <w:rFonts w:ascii="仿宋_GB2312" w:hAnsi="仿宋" w:eastAsia="仿宋_GB2312" w:cs="宋体"/>
          <w:kern w:val="2"/>
          <w:sz w:val="32"/>
          <w:szCs w:val="32"/>
        </w:rPr>
      </w:pPr>
      <w:r>
        <w:rPr>
          <w:rFonts w:ascii="仿宋_GB2312" w:hAnsi="仿宋" w:eastAsia="仿宋_GB2312" w:cs="宋体"/>
          <w:kern w:val="2"/>
          <w:sz w:val="32"/>
          <w:szCs w:val="32"/>
        </w:rPr>
        <w:t>1）软件部分：大型仪器设备共享管理平台一套（含电脑端和移动端及所需数据库），功能包括信息门户、业务管理、设备管理、数据管理、运维管理、统计分析、系统管理。</w:t>
      </w:r>
      <w:r>
        <w:rPr>
          <w:rFonts w:ascii="仿宋_GB2312" w:hAnsi="仿宋" w:eastAsia="仿宋_GB2312" w:cs="宋体"/>
          <w:kern w:val="2"/>
          <w:sz w:val="32"/>
          <w:szCs w:val="32"/>
        </w:rPr>
        <w:br w:type="textWrapping"/>
      </w:r>
      <w:r>
        <w:rPr>
          <w:rFonts w:ascii="仿宋_GB2312" w:hAnsi="仿宋" w:eastAsia="仿宋_GB2312" w:cs="宋体"/>
          <w:kern w:val="2"/>
          <w:sz w:val="32"/>
          <w:szCs w:val="32"/>
        </w:rPr>
        <w:t xml:space="preserve">    2）硬件部分：物联网智能电源270台、物联网资产标签2</w:t>
      </w:r>
      <w:r>
        <w:rPr>
          <w:rFonts w:hint="eastAsia" w:ascii="仿宋_GB2312" w:hAnsi="仿宋" w:eastAsia="仿宋_GB2312" w:cs="宋体"/>
          <w:kern w:val="2"/>
          <w:sz w:val="32"/>
          <w:szCs w:val="32"/>
        </w:rPr>
        <w:t>86</w:t>
      </w:r>
      <w:r>
        <w:rPr>
          <w:rFonts w:ascii="仿宋_GB2312" w:hAnsi="仿宋" w:eastAsia="仿宋_GB2312" w:cs="宋体"/>
          <w:kern w:val="2"/>
          <w:sz w:val="32"/>
          <w:szCs w:val="32"/>
        </w:rPr>
        <w:t>个，10台手持盘点仪、无线网卡30个、实验室智能门禁70套（其中15套门禁改造、55套门禁新装）。</w:t>
      </w:r>
      <w:r>
        <w:rPr>
          <w:rFonts w:ascii="仿宋_GB2312" w:hAnsi="仿宋" w:eastAsia="仿宋_GB2312" w:cs="宋体"/>
          <w:kern w:val="2"/>
          <w:sz w:val="32"/>
          <w:szCs w:val="32"/>
        </w:rPr>
        <w:br w:type="textWrapping"/>
      </w:r>
      <w:r>
        <w:rPr>
          <w:rFonts w:ascii="仿宋_GB2312" w:hAnsi="仿宋" w:eastAsia="仿宋_GB2312" w:cs="宋体"/>
          <w:kern w:val="2"/>
          <w:sz w:val="32"/>
          <w:szCs w:val="32"/>
        </w:rPr>
        <w:t xml:space="preserve">    3）其他：本项目所涉及的所有设备安装、调试及根据实际需求的产生的配套施工、辅材等，维护人员驻场（竣工验收合格后</w:t>
      </w:r>
      <w:r>
        <w:rPr>
          <w:rFonts w:hint="eastAsia" w:ascii="仿宋_GB2312" w:hAnsi="仿宋" w:eastAsia="仿宋_GB2312" w:cs="宋体"/>
          <w:kern w:val="2"/>
          <w:sz w:val="32"/>
          <w:szCs w:val="32"/>
        </w:rPr>
        <w:t>不少于</w:t>
      </w:r>
      <w:r>
        <w:rPr>
          <w:rFonts w:ascii="仿宋_GB2312" w:hAnsi="仿宋" w:eastAsia="仿宋_GB2312" w:cs="宋体"/>
          <w:kern w:val="2"/>
          <w:sz w:val="32"/>
          <w:szCs w:val="32"/>
        </w:rPr>
        <w:t>1年）服务等。</w:t>
      </w:r>
    </w:p>
    <w:p>
      <w:pPr>
        <w:rPr>
          <w:rFonts w:ascii="仿宋_GB2312" w:hAnsi="仿宋" w:eastAsia="仿宋_GB2312" w:cs="宋体"/>
          <w:kern w:val="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34" w:gutter="0"/>
          <w:pgNumType w:start="1"/>
          <w:cols w:space="720" w:num="1"/>
          <w:docGrid w:type="lines" w:linePitch="435" w:charSpace="0"/>
        </w:sectPr>
      </w:pPr>
      <w:r>
        <w:rPr>
          <w:rFonts w:ascii="仿宋_GB2312" w:hAnsi="仿宋" w:eastAsia="仿宋_GB2312" w:cs="宋体"/>
          <w:kern w:val="2"/>
          <w:sz w:val="32"/>
          <w:szCs w:val="32"/>
        </w:rPr>
        <w:br w:type="page"/>
      </w:r>
    </w:p>
    <w:p>
      <w:pPr>
        <w:spacing w:line="240" w:lineRule="auto"/>
        <w:ind w:firstLine="0" w:firstLineChars="0"/>
        <w:rPr>
          <w:rFonts w:ascii="仿宋_GB2312" w:hAnsi="仿宋" w:eastAsia="仿宋_GB2312" w:cs="宋体"/>
          <w:kern w:val="2"/>
          <w:sz w:val="32"/>
          <w:szCs w:val="32"/>
        </w:rPr>
      </w:pPr>
    </w:p>
    <w:p>
      <w:pPr>
        <w:snapToGrid w:val="0"/>
        <w:spacing w:line="579"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具体技术参数如下：</w:t>
      </w:r>
    </w:p>
    <w:p>
      <w:pPr>
        <w:snapToGrid w:val="0"/>
        <w:spacing w:line="579" w:lineRule="exact"/>
        <w:rPr>
          <w:rFonts w:ascii="仿宋_GB2312" w:hAnsi="Times New Roman" w:eastAsia="仿宋_GB2312" w:cs="Times New Roman"/>
          <w:sz w:val="32"/>
          <w:szCs w:val="32"/>
        </w:rPr>
      </w:pPr>
    </w:p>
    <w:tbl>
      <w:tblPr>
        <w:tblStyle w:val="18"/>
        <w:tblW w:w="5000" w:type="pct"/>
        <w:tblInd w:w="0" w:type="dxa"/>
        <w:tblLayout w:type="fixed"/>
        <w:tblCellMar>
          <w:top w:w="0" w:type="dxa"/>
          <w:left w:w="108" w:type="dxa"/>
          <w:bottom w:w="0" w:type="dxa"/>
          <w:right w:w="108" w:type="dxa"/>
        </w:tblCellMar>
      </w:tblPr>
      <w:tblGrid>
        <w:gridCol w:w="394"/>
        <w:gridCol w:w="394"/>
        <w:gridCol w:w="397"/>
        <w:gridCol w:w="579"/>
        <w:gridCol w:w="579"/>
        <w:gridCol w:w="2298"/>
        <w:gridCol w:w="4467"/>
        <w:gridCol w:w="2205"/>
        <w:gridCol w:w="1658"/>
        <w:tblGridChange w:id="0">
          <w:tblGrid>
            <w:gridCol w:w="97"/>
            <w:gridCol w:w="97"/>
            <w:gridCol w:w="200"/>
            <w:gridCol w:w="99"/>
            <w:gridCol w:w="261"/>
            <w:gridCol w:w="34"/>
            <w:gridCol w:w="102"/>
            <w:gridCol w:w="295"/>
            <w:gridCol w:w="102"/>
            <w:gridCol w:w="477"/>
            <w:gridCol w:w="579"/>
            <w:gridCol w:w="2298"/>
            <w:gridCol w:w="4467"/>
            <w:gridCol w:w="2205"/>
            <w:gridCol w:w="1658"/>
          </w:tblGrid>
        </w:tblGridChange>
      </w:tblGrid>
      <w:tr>
        <w:tblPrEx>
          <w:tblCellMar>
            <w:top w:w="0" w:type="dxa"/>
            <w:left w:w="108" w:type="dxa"/>
            <w:bottom w:w="0" w:type="dxa"/>
            <w:right w:w="108" w:type="dxa"/>
          </w:tblCellMar>
        </w:tblPrEx>
        <w:trPr>
          <w:wBefore w:w="0" w:type="auto"/>
          <w:trHeight w:val="576" w:hRule="atLeast"/>
        </w:trPr>
        <w:tc>
          <w:tcPr>
            <w:tcW w:w="1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bookmarkStart w:id="0" w:name="RANGE!A1:I126"/>
            <w:r>
              <w:rPr>
                <w:rFonts w:hint="eastAsia" w:ascii="宋体" w:hAnsi="宋体" w:cs="宋体"/>
                <w:sz w:val="22"/>
                <w:szCs w:val="22"/>
              </w:rPr>
              <w:t>序号</w:t>
            </w:r>
            <w:bookmarkEnd w:id="0"/>
          </w:p>
        </w:tc>
        <w:tc>
          <w:tcPr>
            <w:tcW w:w="15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分类</w:t>
            </w:r>
          </w:p>
        </w:tc>
        <w:tc>
          <w:tcPr>
            <w:tcW w:w="15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一级指标</w:t>
            </w:r>
          </w:p>
        </w:tc>
        <w:tc>
          <w:tcPr>
            <w:tcW w:w="22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二级指标</w:t>
            </w:r>
          </w:p>
        </w:tc>
        <w:tc>
          <w:tcPr>
            <w:tcW w:w="22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三级指标</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是否作为强制要求</w:t>
            </w:r>
            <w:r>
              <w:rPr>
                <w:rFonts w:ascii="宋体" w:hAnsi="宋体" w:cs="宋体"/>
                <w:sz w:val="22"/>
                <w:szCs w:val="22"/>
              </w:rPr>
              <w:br w:type="textWrapping"/>
            </w:r>
            <w:r>
              <w:rPr>
                <w:rFonts w:hint="eastAsia" w:ascii="宋体" w:hAnsi="宋体" w:cs="宋体"/>
                <w:sz w:val="22"/>
                <w:szCs w:val="22"/>
              </w:rPr>
              <w:t>及评分因素等</w:t>
            </w:r>
          </w:p>
        </w:tc>
        <w:tc>
          <w:tcPr>
            <w:tcW w:w="172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指标要求</w:t>
            </w:r>
          </w:p>
        </w:tc>
        <w:tc>
          <w:tcPr>
            <w:tcW w:w="85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指标使用说明</w:t>
            </w:r>
          </w:p>
        </w:tc>
        <w:tc>
          <w:tcPr>
            <w:tcW w:w="63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证明</w:t>
            </w:r>
            <w:r>
              <w:rPr>
                <w:rFonts w:ascii="宋体" w:hAnsi="宋体" w:cs="宋体"/>
                <w:sz w:val="22"/>
                <w:szCs w:val="22"/>
              </w:rPr>
              <w:br w:type="textWrapping"/>
            </w:r>
            <w:r>
              <w:rPr>
                <w:rFonts w:hint="eastAsia" w:ascii="宋体" w:hAnsi="宋体" w:cs="宋体"/>
                <w:sz w:val="22"/>
                <w:szCs w:val="22"/>
              </w:rPr>
              <w:t>方式</w:t>
            </w:r>
          </w:p>
        </w:tc>
      </w:tr>
      <w:tr>
        <w:tblPrEx>
          <w:tblCellMar>
            <w:top w:w="0" w:type="dxa"/>
            <w:left w:w="108" w:type="dxa"/>
            <w:bottom w:w="0" w:type="dxa"/>
            <w:right w:w="108" w:type="dxa"/>
          </w:tblCellMar>
        </w:tblPrEx>
        <w:trPr>
          <w:trHeight w:val="819" w:hRule="atLeast"/>
        </w:trPr>
        <w:tc>
          <w:tcPr>
            <w:tcW w:w="15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1</w:t>
            </w:r>
          </w:p>
        </w:tc>
        <w:tc>
          <w:tcPr>
            <w:tcW w:w="15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仪器预约共享管理系统</w:t>
            </w: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信息门户</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门户首页</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nil"/>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包括新闻快讯、通知公告、仪器展示（列表</w:t>
            </w:r>
            <w:r>
              <w:rPr>
                <w:rFonts w:ascii="宋体" w:hAnsi="宋体" w:cs="宋体"/>
                <w:sz w:val="22"/>
                <w:szCs w:val="22"/>
              </w:rPr>
              <w:t>+图片展现每台共享仪器的名称、所属科室、功能介绍、当前工作状态等基础信息，可通过条件查询某台仪器，点击预约进入该台仪器的预约功能界面）、规章制度、服务指南等信息的公示</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功能介绍越多越好</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个人中心</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内部用户与校园信息平台的一体化管理，通过与大学统一身份认证平台对接，一次性获取到人员信息，并对人员信息进行整合，中心授权管理，具有统一身份验证后台，可以实现人员的集中管理</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非内部统一身份认证用户，通过自主注册成为平台成员。</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个人中心可以简要看到自己的仪器预约信息、产品培训通知、我的数据、个人网盘、费用管理、我的团队等功能的汇总信息，点击可进入相关功能。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功能介绍越多越好</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管理首页</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支持人员管理与设备管理两类</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驾驶舱</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展现仪器每日使用的汇总信息，包括仪器总数、预约数量、报修数量；</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要求的功能齐全完整，信息类型丰富更优。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展现仪器使用时长（月、周、日）曲线图</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展现每日计费汇总信息</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仪器共享使用时长排行（年、月）</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仪器使用率排行（年、月）；仪器闲置率排行（年、月）等</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要求的功能齐全完整，信息类型丰富更优。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nil"/>
              <w:right w:val="nil"/>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支持产品内容展示（仪器信息、最新预约记录、学院仪器情况统计、仪器价值占比分析、服务人群次数占比、送样方式占比等）功能。</w:t>
            </w:r>
          </w:p>
        </w:tc>
        <w:tc>
          <w:tcPr>
            <w:tcW w:w="850"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提供产品测试报告或功能截图作为证明材料</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设备管理模块</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仪器一览</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所有仪器的信息列表展示，点击可查看详细信息，可在线新增并修改或删除仪器信息，也可列表统一导入信息。</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实时工况</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通过物联网智能电源，系统实时掌控每台仪器的工作状况，包括当前科研人员、仪器当前工况（关机、开机、待机）；并实现仪器报修、仪器保养等流程实时在线管理。</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仪器盘点</w:t>
            </w: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标签自动扫描识别，精确呈现仪器数量、状态、详细资料，提高资产盘点的效率。</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自动仪器登记、数据汇总上报，支持数据同步</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业务管理模块</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预约管理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支持科研人员自行上机实验和送样检测实验两种，仪器支持按预约方式分类</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要求的功能齐全完整，分类方式越多越好</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支持仪器可预约的日程管理、仪器可预约的工作时间设置、每次可预约时长的设置</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仪器支持按使用人员分类（本院、本科系、校外人员）</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要求的功能齐全完整，分类方式越多越好</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支持自定义时间段内，多人预约同一台设备时，自动拉群、使用完毕自动退群功能，方便使用人员交流，并在预约有变动时自动发送对应内容的消息提醒给用户</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支持断网存储功能，系统应具备自动在智能终端（软</w:t>
            </w:r>
            <w:r>
              <w:rPr>
                <w:rFonts w:ascii="宋体" w:hAnsi="宋体" w:cs="宋体"/>
                <w:sz w:val="22"/>
                <w:szCs w:val="22"/>
              </w:rPr>
              <w:t>/硬件）内存储未来3天内用户预约记录，当断网或网络时断时连的情况下，已授权的预约用户仍可按照之前的预约时间进行仪器设备使用</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支持按用户查询业务情况，包括用户基本信息，课题组和经费信息，预约量、核定量和待缴费量及其明细。</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single" w:color="auto" w:sz="4" w:space="0"/>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提供共享资源一览，支持按月、周、日列表形式显示管理员的预约业务情况。支持添加仪器信息、送样检测、自主测样、开放范围，机组人员，费率设置、预约审核，费用核定方面功能展示。</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提供产品测试报告或功能截图作为证明材料</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送样管理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支持填写样品数量、样品内容、样品状态、检测要求、保存条件、样品是否回收、期望完成时间等信息</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要求的功能齐全完整，填写内容可选项越多越好</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支持在线审批、计费</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通过预约单号，工号，姓名查询，按照时间轴的方式显示预约单全流程，至少包括个人信息、预约信息、缴费情况、账户信息等。支持按预约编号、预约时间、期望时间、测样方式、机组审批、审批状态、预约方式、预约状态进行查询统计。</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承检人员可以提交检测结果供送样人员下载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计费管理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支持按单台设备时长、次数计费</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支持按项目计费</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费用折扣功能，在同一界面进行操作，可根据不同人员、课题组、部门，针对不同的仪器进行折扣设置，并支持选配折扣生效条件（包含机时数、样品数、满足金额）、折扣时间和折扣率。</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single" w:color="auto" w:sz="4" w:space="0"/>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可以针对不同仪器的不同测试项目设置不同的计费规则。计费规则可根据需要进行配置。支持基础费率和项目费率累加模式，支持用户动态输入计费模式，支持时间费率和样品费率组合收费如取最大费用、合计费用或按照用户预约方式计费等，计费项需要包含：开机费（元）、机时费率（元</w:t>
            </w:r>
            <w:r>
              <w:rPr>
                <w:rFonts w:ascii="宋体" w:hAnsi="宋体" w:cs="宋体"/>
                <w:sz w:val="22"/>
                <w:szCs w:val="22"/>
              </w:rPr>
              <w:t xml:space="preserve">/ </w:t>
            </w:r>
            <w:r>
              <w:rPr>
                <w:rFonts w:hint="eastAsia" w:ascii="宋体" w:hAnsi="宋体" w:cs="宋体"/>
                <w:sz w:val="22"/>
                <w:szCs w:val="22"/>
              </w:rPr>
              <w:t>分）、样品费率（元</w:t>
            </w:r>
            <w:r>
              <w:rPr>
                <w:rFonts w:ascii="宋体" w:hAnsi="宋体" w:cs="宋体"/>
                <w:sz w:val="22"/>
                <w:szCs w:val="22"/>
              </w:rPr>
              <w:t xml:space="preserve">/ </w:t>
            </w:r>
            <w:r>
              <w:rPr>
                <w:rFonts w:hint="eastAsia" w:ascii="宋体" w:hAnsi="宋体" w:cs="宋体"/>
                <w:sz w:val="22"/>
                <w:szCs w:val="22"/>
              </w:rPr>
              <w:t>个）、其他费用（元）、自定义测试项目收费（如：高低温、物相个数、样品前处理等条件）等。用户可以在后台自主操作简单的自定义设置各种测试项目。</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培训发布</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每台仪器均可设定培训规则，系统自动判断每个科研人员是否满足培训条件</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支持实验培训记录的批量导入功能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支持发布通知仪器使用操作培训信息的，包括培训的内容、时间、地点等信息；培训信息发布在预约系统的主界面中展现；</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黑名单管理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仪器管理员可针对迟到、早退、爽约、超时等设置违规规则，如按违规次数、按违规时长扣信用积分等。超过次数或积分不够，系统自动将用户加入黑名单。</w:t>
            </w:r>
            <w:r>
              <w:rPr>
                <w:rFonts w:hint="eastAsia" w:ascii="宋体" w:hAnsi="宋体" w:cs="宋体"/>
                <w:sz w:val="22"/>
                <w:szCs w:val="22"/>
                <w:highlight w:val="none"/>
              </w:rPr>
              <w:t>加入黑名单后</w:t>
            </w:r>
            <w:r>
              <w:rPr>
                <w:rFonts w:hint="eastAsia" w:ascii="宋体" w:hAnsi="宋体" w:cs="宋体"/>
                <w:sz w:val="22"/>
                <w:szCs w:val="22"/>
              </w:rPr>
              <w:t>限制用户</w:t>
            </w:r>
            <w:r>
              <w:rPr>
                <w:rFonts w:hint="eastAsia" w:ascii="宋体" w:hAnsi="宋体" w:cs="宋体"/>
                <w:sz w:val="22"/>
                <w:szCs w:val="22"/>
                <w:highlight w:val="none"/>
              </w:rPr>
              <w:t>使用</w:t>
            </w:r>
            <w:r>
              <w:rPr>
                <w:rFonts w:hint="eastAsia" w:ascii="宋体" w:hAnsi="宋体" w:cs="宋体"/>
                <w:sz w:val="22"/>
                <w:szCs w:val="22"/>
              </w:rPr>
              <w:t>预约</w:t>
            </w:r>
            <w:r>
              <w:rPr>
                <w:rFonts w:hint="eastAsia" w:ascii="宋体" w:hAnsi="宋体" w:cs="宋体"/>
                <w:sz w:val="22"/>
                <w:szCs w:val="22"/>
                <w:highlight w:val="none"/>
              </w:rPr>
              <w:t>功能</w:t>
            </w:r>
            <w:r>
              <w:rPr>
                <w:rFonts w:hint="eastAsia" w:ascii="宋体" w:hAnsi="宋体" w:cs="宋体"/>
                <w:sz w:val="22"/>
                <w:szCs w:val="22"/>
              </w:rPr>
              <w:t>；针对有异议</w:t>
            </w:r>
            <w:r>
              <w:rPr>
                <w:rFonts w:hint="eastAsia" w:ascii="宋体" w:hAnsi="宋体" w:cs="宋体"/>
                <w:sz w:val="22"/>
                <w:szCs w:val="22"/>
                <w:highlight w:val="none"/>
              </w:rPr>
              <w:t>情况</w:t>
            </w:r>
            <w:r>
              <w:rPr>
                <w:rFonts w:hint="eastAsia" w:ascii="宋体" w:hAnsi="宋体" w:cs="宋体"/>
                <w:sz w:val="22"/>
                <w:szCs w:val="22"/>
              </w:rPr>
              <w:t>的，用户可以发起申述请求；</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仪器管理员可对所负责仪器黑名单的批量添加、搜索、修改和解禁</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平台展示用户违规记录的汇总显示和查询，仪器使用记录的违规状态检索。</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数据管理　</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文件管理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支持通过文件系统对公共、个人实验数据文件（本次预估</w:t>
            </w:r>
            <w:r>
              <w:rPr>
                <w:rFonts w:ascii="宋体" w:hAnsi="宋体" w:cs="宋体"/>
                <w:sz w:val="22"/>
                <w:szCs w:val="22"/>
              </w:rPr>
              <w:t>30个大仪试点）等资料进行安全的上传和下载，</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支持文件的创建、存储、读取、修改、删除等功能，形成标准格式的电子文件的集中储存和管理</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效期管理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对接数据中台，支持随时以效期时间段、指定日期、试剂名称、类别等多维度筛选查看仓库内试剂列表，即时获知效期物料动态</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支持设置临期时间，支持效期临期提醒。</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数据查询</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可以根据关键字、日期、项目名称等检索相关内容，文件系统可以设置访问、下载权限</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page"/>
            </w:r>
            <w:r>
              <w:rPr>
                <w:rFonts w:hint="eastAsia" w:ascii="宋体" w:hAnsi="宋体" w:cs="宋体"/>
                <w:sz w:val="22"/>
                <w:szCs w:val="22"/>
              </w:rPr>
              <w:t>评分因素□</w:t>
            </w:r>
            <w:r>
              <w:rPr>
                <w:rFonts w:ascii="宋体" w:hAnsi="宋体" w:cs="宋体"/>
                <w:sz w:val="22"/>
                <w:szCs w:val="22"/>
              </w:rPr>
              <w:br w:type="page"/>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查询结果支持导出数据文件以做备案，可基于实验室相关数据生成统计信息列表，并以各类图表形式呈现，同时支持相关数据的导出</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nil"/>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数据调用</w:t>
            </w:r>
          </w:p>
        </w:tc>
        <w:tc>
          <w:tcPr>
            <w:tcW w:w="223" w:type="pct"/>
            <w:vMerge w:val="restart"/>
            <w:tcBorders>
              <w:top w:val="nil"/>
              <w:left w:val="nil"/>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统一管理和综合利用结构化、非结构化等各类数据，基于数据调用平台，支持外部数据通过数据交换至本平台</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p>
        </w:tc>
        <w:tc>
          <w:tcPr>
            <w:tcW w:w="223" w:type="pct"/>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提供系统配套所需数据库</w:t>
            </w:r>
            <w:r>
              <w:rPr>
                <w:rFonts w:ascii="宋体" w:hAnsi="宋体" w:cs="宋体"/>
                <w:sz w:val="22"/>
                <w:szCs w:val="22"/>
              </w:rPr>
              <w:t>，支持国产操作系统，支持国产服务器，只能选用人大金仓、南大通用、武汉达梦、神州通用等国产品牌</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运维管理模块</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保养管理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系统支持日常设备管理员和平台管理员可通过保养月历直观查看保养工作进展，可视化保养计划执行情况</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平台内可以对负责仪器通过设置保养项目、保养周期、保养人、保养提醒时间等信息设置保养计划</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要求的功能齐全完整，信息设置方式越多越优。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系统支持根据保养计划为仪器管理员发送保养提醒，并且通过平台、移动端等途径对仪器管理员进行全方位提醒，督促仪器管理员按时进行保养</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报修管理</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系统支持平台管理员查看平台全部维修台账，全面了解平台设备维修数据。</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支持仪器负责人手动调整所属管理仪器的状态，状态包括正常、故障、报废等</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要求的功能齐全完整，状态越多越优。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支持移动端报修、审批</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统计分析模块</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查询报表</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查询预约情况、使用情况（按仪器、机组、管理员、预约人、课题组、部门等分类汇总，同时可以根据日期类型、时间范围、部门、实验室、仪器、价格、仪器</w:t>
            </w:r>
            <w:r>
              <w:rPr>
                <w:rFonts w:ascii="宋体" w:hAnsi="宋体" w:cs="宋体"/>
                <w:sz w:val="22"/>
                <w:szCs w:val="22"/>
              </w:rPr>
              <w:t>/用户类型查询统计、生成图表、支持多级查询。可导出预约、使用等明细表，</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要求的功能齐全完整，支持查询类型越多越优。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支持按年、季、月统计预约情况、按付费人和设备统计扣费情况，对设备的预约次数、预约机时、使用次数、使用机时、计费时长、计费金额等统计</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要求的功能齐全完整，支持查询类型越多越优。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提供可定制化的数据分析功能，并可生成相应的报表导出</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共享分析</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highlight w:val="none"/>
              </w:rPr>
              <w:t>根据预约情况、使用情况、图表数据分析仪器共享开放程度。</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使用分析</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统计仪器实时预约记录、实时送样记录、实时使用记录、实时收费记录、实时故障记录等，来分析仪器的使用率、使用次数、饱和度、总工作时长等</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仪器统计</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支持查看各类仪器数据的汇总图表，如固定资产数量、固定资产价值总额、使用总机时图表，还可以查看相关要素的同比变化趋势，</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效益分析</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根据每台仪器的计费标准与使用数据，统计仪器效益、机主服务效益</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运维分析</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可以查看仪器的采购预测、保养预测及供应商的服务分析</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保养预测系统</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提供时间预测与设备使用时长预测两种方式列表显示设备明细包括名称、资产编号、类型、采购时间、预计保养时间、设备实时位置、保养进度条</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系统管理模块</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用户管理</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支持校内外用户注册、接入管理，</w:t>
            </w:r>
            <w:r>
              <w:rPr>
                <w:rFonts w:ascii="宋体" w:hAnsi="宋体" w:cs="宋体"/>
                <w:sz w:val="22"/>
                <w:szCs w:val="22"/>
              </w:rPr>
              <w:t>license永久授权、授权人数无上限</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课题组管理</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支持课题组注册、组成员人员管理</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角色权限</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系统需支持角色信息（角色级别、所属系统、角色编号、角色名称等）管理，所添加的角色信息需以列表形式呈现；可通过系统分配或删除人员所属角色；方便根据学校实际情况，分配各角色在系统中的操作权限。</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现场系统演示验证</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支持第三方人力资源管理软件架构导入；以用户类别区分院内院外人员，并分配不同权限，</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仪器资产信息维护</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page"/>
            </w:r>
            <w:r>
              <w:rPr>
                <w:rFonts w:hint="eastAsia" w:ascii="宋体" w:hAnsi="宋体" w:cs="宋体"/>
                <w:sz w:val="22"/>
                <w:szCs w:val="22"/>
              </w:rPr>
              <w:t>评分因素□</w:t>
            </w:r>
            <w:r>
              <w:rPr>
                <w:rFonts w:ascii="宋体" w:hAnsi="宋体" w:cs="宋体"/>
                <w:sz w:val="22"/>
                <w:szCs w:val="22"/>
              </w:rPr>
              <w:br w:type="page"/>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在线修改及新增仪器的相关信息，维护设备品牌、名称、产地、型号、资产编号、采购时间、产权部门、使用部门、归属区域等信息</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要求的功能齐全完整，逻辑架构修改便捷更优。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支持导入导出功能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项目信息维护</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支持对项目名称、项目组成员等基础信息的修改</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物联网设备管理</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支持物联网终端管理，智能物联网硬件设置、修改物联网设备等</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提供产品测试报告作为证明材料</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门禁联动控制</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门禁系统与大学统一身份认证平台对接，将科研人员进入实验室的权限与仪器的预约情况相关联</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电源控制</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支持身份认证、仪器通、断电控制，支持对仪器开机、关机、待机等工作状态的数据采集</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要求的功能齐全完整，支持的工作状态类型越多越优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系统对接</w:t>
            </w:r>
          </w:p>
        </w:tc>
        <w:tc>
          <w:tcPr>
            <w:tcW w:w="22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r>
              <w:rPr>
                <w:rFonts w:ascii="Wingdings" w:hAnsi="Wingdings" w:cs="宋体"/>
                <w:sz w:val="22"/>
                <w:szCs w:val="22"/>
              </w:rPr>
              <w:t></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highlight w:val="none"/>
              </w:rPr>
              <w:t>具有数据交互与接口功能，可满足仪器预约共享管理系统与仪器设备信息数据、学生与教职工基础信息、实验室信息数据、实验室管理人员信息的数据交互，同时可支持第三方信息系统数据的对接，如一卡通、统一身份认证等。</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提供产品测试报告作为证明材料</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与数据中台对接接获取实验数据画像关联数据（实验对应的样本信息、试剂耗材信息、成果信息等）</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系统设置</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nil"/>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系统需具备支撑各业务系统使用的登录管理、登录日志、初始化设置、基础数据导入、权限管理及系统设置进阶管理等基础框架功能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提供产品测试报告或功能截图作为证明材料</w:t>
            </w:r>
          </w:p>
        </w:tc>
      </w:tr>
      <w:tr>
        <w:tblPrEx>
          <w:tblCellMar>
            <w:top w:w="0" w:type="dxa"/>
            <w:left w:w="108" w:type="dxa"/>
            <w:bottom w:w="0" w:type="dxa"/>
            <w:right w:w="108" w:type="dxa"/>
          </w:tblCellMar>
        </w:tblPrEx>
        <w:trPr>
          <w:trHeight w:val="718" w:hRule="atLeast"/>
        </w:trPr>
        <w:tc>
          <w:tcPr>
            <w:tcW w:w="15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2</w:t>
            </w:r>
          </w:p>
        </w:tc>
        <w:tc>
          <w:tcPr>
            <w:tcW w:w="15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物联网智能电源</w:t>
            </w: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性能要求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整机性能要求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ascii="宋体" w:hAnsi="宋体" w:cs="宋体"/>
                <w:sz w:val="22"/>
                <w:szCs w:val="22"/>
              </w:rPr>
              <w:t xml:space="preserve">1.控制电流: </w:t>
            </w:r>
            <w:r>
              <w:rPr>
                <w:rFonts w:hint="eastAsia" w:ascii="宋体" w:hAnsi="宋体" w:cs="宋体"/>
                <w:sz w:val="22"/>
                <w:szCs w:val="22"/>
              </w:rPr>
              <w:t>≤</w:t>
            </w:r>
            <w:r>
              <w:rPr>
                <w:rFonts w:ascii="宋体" w:hAnsi="宋体" w:cs="宋体"/>
                <w:sz w:val="22"/>
                <w:szCs w:val="22"/>
              </w:rPr>
              <w:t xml:space="preserve"> 10A ;</w:t>
            </w:r>
          </w:p>
          <w:p>
            <w:pPr>
              <w:widowControl/>
              <w:jc w:val="left"/>
              <w:rPr>
                <w:rFonts w:ascii="宋体" w:hAnsi="宋体" w:cs="宋体"/>
                <w:sz w:val="22"/>
                <w:szCs w:val="22"/>
              </w:rPr>
            </w:pPr>
            <w:r>
              <w:rPr>
                <w:rFonts w:ascii="宋体" w:hAnsi="宋体" w:cs="宋体"/>
                <w:sz w:val="22"/>
                <w:szCs w:val="22"/>
              </w:rPr>
              <w:t xml:space="preserve">2.工作电压: AC 220V </w:t>
            </w:r>
            <w:r>
              <w:rPr>
                <w:rFonts w:hint="eastAsia" w:ascii="宋体" w:hAnsi="宋体" w:cs="宋体"/>
                <w:sz w:val="22"/>
                <w:szCs w:val="22"/>
              </w:rPr>
              <w:t>±</w:t>
            </w:r>
            <w:r>
              <w:rPr>
                <w:rFonts w:ascii="宋体" w:hAnsi="宋体" w:cs="宋体"/>
                <w:sz w:val="22"/>
                <w:szCs w:val="22"/>
              </w:rPr>
              <w:t xml:space="preserve"> 10%, 50-60HZ；</w:t>
            </w:r>
          </w:p>
          <w:p>
            <w:pPr>
              <w:widowControl/>
              <w:jc w:val="left"/>
              <w:rPr>
                <w:rFonts w:ascii="宋体" w:hAnsi="宋体" w:cs="宋体"/>
                <w:sz w:val="22"/>
                <w:szCs w:val="22"/>
              </w:rPr>
            </w:pPr>
            <w:r>
              <w:rPr>
                <w:rFonts w:ascii="宋体" w:hAnsi="宋体" w:cs="宋体"/>
                <w:sz w:val="22"/>
                <w:szCs w:val="22"/>
              </w:rPr>
              <w:t xml:space="preserve">3.工作电流: </w:t>
            </w:r>
            <w:r>
              <w:rPr>
                <w:rFonts w:hint="eastAsia" w:ascii="宋体" w:hAnsi="宋体" w:cs="宋体"/>
                <w:sz w:val="22"/>
                <w:szCs w:val="22"/>
              </w:rPr>
              <w:t>≤</w:t>
            </w:r>
            <w:r>
              <w:rPr>
                <w:rFonts w:ascii="宋体" w:hAnsi="宋体" w:cs="宋体"/>
                <w:sz w:val="22"/>
                <w:szCs w:val="22"/>
              </w:rPr>
              <w:t xml:space="preserve"> 100 mA；</w:t>
            </w:r>
          </w:p>
          <w:p>
            <w:pPr>
              <w:widowControl/>
              <w:jc w:val="left"/>
              <w:rPr>
                <w:rFonts w:ascii="宋体" w:hAnsi="宋体" w:cs="宋体"/>
                <w:sz w:val="22"/>
                <w:szCs w:val="22"/>
              </w:rPr>
            </w:pPr>
            <w:r>
              <w:rPr>
                <w:rFonts w:ascii="宋体" w:hAnsi="宋体" w:cs="宋体"/>
                <w:sz w:val="22"/>
                <w:szCs w:val="22"/>
              </w:rPr>
              <w:t>4.含有线、无线组网模块、蓝牙模块</w:t>
            </w:r>
          </w:p>
          <w:p>
            <w:pPr>
              <w:widowControl/>
              <w:jc w:val="left"/>
              <w:rPr>
                <w:rFonts w:ascii="宋体" w:hAnsi="宋体" w:cs="宋体"/>
                <w:sz w:val="22"/>
                <w:szCs w:val="22"/>
              </w:rPr>
            </w:pPr>
            <w:r>
              <w:rPr>
                <w:rFonts w:ascii="宋体" w:hAnsi="宋体" w:cs="宋体"/>
                <w:sz w:val="22"/>
                <w:szCs w:val="22"/>
              </w:rPr>
              <w:t>5.支持特大型功率仪器</w:t>
            </w:r>
          </w:p>
          <w:p>
            <w:pPr>
              <w:widowControl/>
              <w:jc w:val="left"/>
              <w:rPr>
                <w:rFonts w:ascii="宋体" w:hAnsi="宋体" w:cs="宋体"/>
                <w:sz w:val="22"/>
                <w:szCs w:val="22"/>
              </w:rPr>
            </w:pPr>
            <w:r>
              <w:rPr>
                <w:rFonts w:ascii="宋体" w:hAnsi="宋体" w:cs="宋体"/>
                <w:sz w:val="22"/>
                <w:szCs w:val="22"/>
              </w:rPr>
              <w:t>6.支持身份认证功能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功能要求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收集功能</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用电数据收集，包括电流、电压数据，开机时长、工作时长，能过数据的变化判断仪器的关机、开机、待机等工作状态。</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控制功能</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电源开关控制，实验者可通过大学统一身份认证平台进行身份认证，当确认预约身份后，通过无线网络提供的指令进行电源通、断控制；当实验结束后，通过无线网络提供的指令进行电源关闭控制。</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兼容性要求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插头兼容性</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兼容国际、国内各种插头规格</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电流、电压兼容性</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可根据不同仪器电压电流定制电源</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安全要求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停电保护</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停电保护措施</w:t>
            </w:r>
            <w:r>
              <w:rPr>
                <w:rFonts w:ascii="宋体" w:hAnsi="宋体" w:cs="宋体"/>
                <w:sz w:val="22"/>
                <w:szCs w:val="22"/>
              </w:rPr>
              <w:t xml:space="preserve">: </w:t>
            </w:r>
            <w:r>
              <w:rPr>
                <w:rFonts w:hint="eastAsia" w:ascii="宋体" w:hAnsi="宋体" w:cs="宋体"/>
                <w:sz w:val="22"/>
                <w:szCs w:val="22"/>
              </w:rPr>
              <w:t>突然停电情况下，仪器使用记录永不丢失；</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restart"/>
            <w:tcBorders>
              <w:top w:val="nil"/>
              <w:left w:val="nil"/>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硬件保护</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符合电子电器产品规范，设备可防止浪涌（冲击）抗绕、电快速瞬变脉冲群抗扰，可在持续低温至持续高温以及电源发生变化（如：电压升高至</w:t>
            </w:r>
            <w:r>
              <w:rPr>
                <w:rFonts w:ascii="宋体" w:hAnsi="宋体" w:cs="宋体"/>
                <w:sz w:val="22"/>
                <w:szCs w:val="22"/>
              </w:rPr>
              <w:t>400V）的环境下保持稳定工作。</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提供国家认可的检测机构出具的检测报告</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设备需具一体化防水防尘外壳，实现对仪器电源插头与终端的连接保护，防止水溅或灰尘进入终端造成安全隐患。</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使用保护</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设备需具备锁扣功能，可通过外加锁具防止用户在未授权情况下随意插拔仪器电源绕过系统平台监管。</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离线保护</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离线功能</w:t>
            </w:r>
            <w:r>
              <w:rPr>
                <w:rFonts w:ascii="宋体" w:hAnsi="宋体" w:cs="宋体"/>
                <w:sz w:val="22"/>
                <w:szCs w:val="22"/>
              </w:rPr>
              <w:t xml:space="preserve">: </w:t>
            </w:r>
            <w:r>
              <w:rPr>
                <w:rFonts w:hint="eastAsia" w:ascii="宋体" w:hAnsi="宋体" w:cs="宋体"/>
                <w:sz w:val="22"/>
                <w:szCs w:val="22"/>
              </w:rPr>
              <w:t>在网络出现故障的情况下，电源控制器仍然能够根据存储的信息进行访问控制。</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3</w:t>
            </w:r>
          </w:p>
        </w:tc>
        <w:tc>
          <w:tcPr>
            <w:tcW w:w="152" w:type="pct"/>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实验室门禁</w:t>
            </w: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性能要求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联网认证要求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ascii="宋体" w:hAnsi="宋体" w:cs="宋体"/>
                <w:sz w:val="22"/>
                <w:szCs w:val="22"/>
              </w:rPr>
              <w:t>1.可读卡类型: IC卡、虚拟卡等</w:t>
            </w:r>
            <w:r>
              <w:rPr>
                <w:rFonts w:ascii="宋体" w:hAnsi="宋体" w:cs="宋体"/>
                <w:sz w:val="22"/>
                <w:szCs w:val="22"/>
              </w:rPr>
              <w:br w:type="textWrapping"/>
            </w:r>
            <w:r>
              <w:rPr>
                <w:rFonts w:ascii="宋体" w:hAnsi="宋体" w:cs="宋体"/>
                <w:sz w:val="22"/>
                <w:szCs w:val="22"/>
              </w:rPr>
              <w:t>2.含无线组网模块、蓝牙模块</w:t>
            </w:r>
            <w:r>
              <w:rPr>
                <w:rFonts w:ascii="宋体" w:hAnsi="宋体" w:cs="宋体"/>
                <w:sz w:val="22"/>
                <w:szCs w:val="22"/>
              </w:rPr>
              <w:br w:type="textWrapping"/>
            </w:r>
            <w:r>
              <w:rPr>
                <w:rFonts w:ascii="宋体" w:hAnsi="宋体" w:cs="宋体"/>
                <w:sz w:val="22"/>
                <w:szCs w:val="22"/>
              </w:rPr>
              <w:t>3.支持读卡、扫码、身份认证功能</w:t>
            </w:r>
          </w:p>
          <w:p>
            <w:pPr>
              <w:widowControl/>
              <w:jc w:val="left"/>
              <w:rPr>
                <w:rFonts w:ascii="宋体" w:hAnsi="宋体" w:cs="宋体"/>
                <w:sz w:val="22"/>
                <w:szCs w:val="22"/>
              </w:rPr>
            </w:pPr>
            <w:r>
              <w:rPr>
                <w:rFonts w:hint="eastAsia" w:ascii="宋体" w:hAnsi="宋体" w:cs="宋体"/>
                <w:sz w:val="22"/>
                <w:szCs w:val="22"/>
              </w:rPr>
              <w:t>4.支持 NFC 卡防复制功能；</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要求的功能齐全完整，支持的功能越多越优</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trHeight w:val="864" w:hRule="atLeast"/>
        </w:trPr>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功能要求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对接功能</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智慧门禁必须和平台实现一体化联动管理，支持同学校一卡通系统对接；</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认证功能</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系统可自动识别预约信息，用户无需授权，即可在相应时间段内认证身份进入实验室，可定时自动下载预约列表，并存储相关身份授权信息至本地，实现在断网的情况下也可以进行身份认证授权开门。</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展示功能</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可显示实验室名称、负责人联系方式、使用注意事项标识、仪器预约情况等相关信息。</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兼容性要求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认证方式</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评分因素□</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集多种身份认证模式于一体（校园卡、</w:t>
            </w:r>
            <w:r>
              <w:rPr>
                <w:rFonts w:ascii="宋体" w:hAnsi="宋体" w:cs="宋体"/>
                <w:sz w:val="22"/>
                <w:szCs w:val="22"/>
              </w:rPr>
              <w:t>NFC卡、虚拟卡认证、密码认证</w:t>
            </w:r>
            <w:r>
              <w:rPr>
                <w:rFonts w:hint="eastAsia" w:ascii="宋体" w:hAnsi="宋体" w:cs="宋体"/>
                <w:sz w:val="22"/>
                <w:szCs w:val="22"/>
                <w:highlight w:val="none"/>
              </w:rPr>
              <w:t>等</w:t>
            </w:r>
            <w:r>
              <w:rPr>
                <w:rFonts w:ascii="宋体" w:hAnsi="宋体" w:cs="宋体"/>
                <w:sz w:val="22"/>
                <w:szCs w:val="22"/>
              </w:rPr>
              <w:t>）。认证方式越多越好</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要求的功能齐全完整，支持的功能越多越优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left w:val="single" w:color="auto" w:sz="4" w:space="0"/>
              <w:right w:val="single" w:color="auto" w:sz="4" w:space="0"/>
            </w:tcBorders>
            <w:vAlign w:val="center"/>
          </w:tcPr>
          <w:p>
            <w:pPr>
              <w:widowControl/>
              <w:jc w:val="left"/>
              <w:rPr>
                <w:rFonts w:ascii="宋体" w:hAnsi="宋体" w:cs="宋体"/>
                <w:sz w:val="22"/>
                <w:szCs w:val="22"/>
              </w:rPr>
            </w:pP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highlight w:val="none"/>
              </w:rPr>
              <w:t>硬件要求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highlight w:val="none"/>
              </w:rPr>
              <w:t>硬件要求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评分因素□</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highlight w:val="none"/>
              </w:rPr>
            </w:pPr>
            <w:r>
              <w:rPr>
                <w:rFonts w:ascii="宋体" w:hAnsi="宋体" w:cs="宋体"/>
                <w:sz w:val="22"/>
                <w:szCs w:val="22"/>
                <w:highlight w:val="none"/>
              </w:rPr>
              <w:t>1.外观设计简洁美观，采用身份认证、数据采集、门禁授权控制、信息展示多项功能一体化设计，配备彩色液晶显示屏，屏幕尺寸≥3.95</w:t>
            </w:r>
            <w:r>
              <w:rPr>
                <w:rFonts w:hint="eastAsia" w:ascii="宋体" w:hAnsi="宋体" w:cs="宋体"/>
                <w:sz w:val="22"/>
                <w:szCs w:val="22"/>
                <w:highlight w:val="none"/>
              </w:rPr>
              <w:t>英寸，内置摄像头≥</w:t>
            </w:r>
            <w:r>
              <w:rPr>
                <w:rFonts w:ascii="宋体" w:hAnsi="宋体" w:cs="宋体"/>
                <w:sz w:val="22"/>
                <w:szCs w:val="22"/>
                <w:highlight w:val="none"/>
              </w:rPr>
              <w:t>200万像素，配套建设电磁锁以及门禁开关，</w:t>
            </w:r>
          </w:p>
          <w:p>
            <w:pPr>
              <w:widowControl/>
              <w:jc w:val="left"/>
              <w:rPr>
                <w:rFonts w:ascii="宋体" w:hAnsi="宋体" w:cs="宋体"/>
                <w:sz w:val="22"/>
                <w:szCs w:val="22"/>
                <w:highlight w:val="none"/>
              </w:rPr>
            </w:pPr>
            <w:r>
              <w:rPr>
                <w:rFonts w:ascii="宋体" w:hAnsi="宋体" w:cs="宋体"/>
                <w:sz w:val="22"/>
                <w:szCs w:val="22"/>
                <w:highlight w:val="none"/>
              </w:rPr>
              <w:t>2.独立架构，具有独立的CPU、存储、显示及跨路由通讯功能，无需每台刷卡设备再配备一台中控设备或者服务器来控制。</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要求的功能齐全完整，支持的功能越多越优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安装要求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安装方式</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评分因素□</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安装方式为使用磁条</w:t>
            </w:r>
            <w:r>
              <w:rPr>
                <w:rFonts w:ascii="宋体" w:hAnsi="宋体" w:cs="宋体"/>
                <w:sz w:val="22"/>
                <w:szCs w:val="22"/>
              </w:rPr>
              <w:t>/磁力锁、外置触控屏的方式。</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要求的功能齐全完整，支持的功能越多越优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tcBorders>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tcBorders>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nil"/>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安全要求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断网保护</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p>
          <w:p>
            <w:pPr>
              <w:widowControl/>
              <w:jc w:val="right"/>
              <w:rPr>
                <w:rFonts w:ascii="宋体" w:hAnsi="宋体" w:cs="宋体"/>
                <w:sz w:val="22"/>
                <w:szCs w:val="22"/>
              </w:rPr>
            </w:pPr>
            <w:r>
              <w:rPr>
                <w:rFonts w:ascii="宋体" w:hAnsi="宋体" w:cs="宋体"/>
                <w:sz w:val="22"/>
                <w:szCs w:val="22"/>
              </w:rPr>
              <w:br w:type="page"/>
            </w:r>
            <w:r>
              <w:rPr>
                <w:rFonts w:hint="eastAsia" w:ascii="宋体" w:hAnsi="宋体" w:cs="宋体"/>
                <w:sz w:val="22"/>
                <w:szCs w:val="22"/>
              </w:rPr>
              <w:t>评分因素□</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支持通过小程序在终端断网情况下，通过手机等移动端本地通讯协议与终端的实时通讯，实现对用户预约业务进行实时鉴权认证，保障网络异常情况下相关业务正常开展。</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tcBorders>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tcBorders>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故障报警</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p>
          <w:p>
            <w:pPr>
              <w:widowControl/>
              <w:jc w:val="right"/>
              <w:rPr>
                <w:rFonts w:ascii="宋体" w:hAnsi="宋体" w:cs="宋体"/>
                <w:sz w:val="22"/>
                <w:szCs w:val="22"/>
              </w:rPr>
            </w:pPr>
            <w:r>
              <w:rPr>
                <w:rFonts w:ascii="宋体" w:hAnsi="宋体" w:cs="宋体"/>
                <w:sz w:val="22"/>
                <w:szCs w:val="22"/>
              </w:rPr>
              <w:br w:type="page"/>
            </w:r>
            <w:r>
              <w:rPr>
                <w:rFonts w:hint="eastAsia" w:ascii="宋体" w:hAnsi="宋体" w:cs="宋体"/>
                <w:sz w:val="22"/>
                <w:szCs w:val="22"/>
              </w:rPr>
              <w:t>评分因素□</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支持物联网智能终端运作状态检测机制，并在健康状况变化时调用故障处理进程，以实现系统对终端故障的自我检测与预警，保障终端安全稳定运行。</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4</w:t>
            </w:r>
          </w:p>
        </w:tc>
        <w:tc>
          <w:tcPr>
            <w:tcW w:w="1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物联网资产标签</w:t>
            </w: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性能要求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硬件要求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内置蓝牙、</w:t>
            </w:r>
            <w:r>
              <w:rPr>
                <w:rFonts w:ascii="宋体" w:hAnsi="宋体" w:cs="宋体"/>
                <w:sz w:val="22"/>
                <w:szCs w:val="22"/>
              </w:rPr>
              <w:t>RFID模块，标准钮扣电池供电，低功耗设计，电池使用周期不低于一年</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电池使用周期时间越长越好</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功能要求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认证功能</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支持手机端进行身份认证，通过连接仪器有源电子标签完成身份认证</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仪器信息查看</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与管控的大型仪器设备一一绑定，与大型仪器共享管理平台对接，标签内容信息显示设备资产的所存放的位置、型号、规格、品牌、生产日期、入库日期、设备简介等信息，可通过手机端查看仪器详细信息</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要求的功能齐全完整，显示信息越多越优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信息修改</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支持标签内容信息可根据软件进行修改，实时变更内容。</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仪器盘点</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支持手持盘点仪的实时盘点</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兼容性要求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认证兼容性</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兼容手机端</w:t>
            </w:r>
            <w:r>
              <w:rPr>
                <w:rFonts w:ascii="宋体" w:hAnsi="宋体" w:cs="宋体"/>
                <w:sz w:val="22"/>
                <w:szCs w:val="22"/>
              </w:rPr>
              <w:t xml:space="preserve">APP身份认证 </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信息兼容性</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兼容手机端</w:t>
            </w:r>
            <w:r>
              <w:rPr>
                <w:rFonts w:ascii="宋体" w:hAnsi="宋体" w:cs="宋体"/>
                <w:sz w:val="22"/>
                <w:szCs w:val="22"/>
              </w:rPr>
              <w:t>APP仪器信息查看</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安全要求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传输安全</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使用加密算法对数据进行加密和解密操作</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5</w:t>
            </w:r>
          </w:p>
        </w:tc>
        <w:tc>
          <w:tcPr>
            <w:tcW w:w="152"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手持盘点仪</w:t>
            </w:r>
          </w:p>
        </w:tc>
        <w:tc>
          <w:tcPr>
            <w:tcW w:w="153"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性能要求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显示屏</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w:t>
            </w:r>
            <w:r>
              <w:rPr>
                <w:rFonts w:ascii="宋体" w:hAnsi="宋体" w:cs="宋体"/>
                <w:sz w:val="22"/>
                <w:szCs w:val="22"/>
              </w:rPr>
              <w:t>5.2寸IPS高清屏，分辨率≥720*1440</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1728"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条码采集</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ascii="宋体" w:hAnsi="宋体" w:cs="宋体"/>
                <w:sz w:val="22"/>
                <w:szCs w:val="22"/>
              </w:rPr>
              <w:t>1.可读写标签：支持ISO15693、ISO14443A/B（不带加密协议）、ISO14443A带加密协议的标签（Mifare one S50,S70及其兼容卡片）；支持NFC协议</w:t>
            </w:r>
          </w:p>
          <w:p>
            <w:pPr>
              <w:widowControl/>
              <w:jc w:val="left"/>
              <w:rPr>
                <w:rFonts w:ascii="宋体" w:hAnsi="宋体" w:cs="宋体"/>
                <w:sz w:val="22"/>
                <w:szCs w:val="22"/>
              </w:rPr>
            </w:pPr>
            <w:r>
              <w:rPr>
                <w:rFonts w:ascii="宋体" w:hAnsi="宋体" w:cs="宋体"/>
                <w:sz w:val="22"/>
                <w:szCs w:val="22"/>
              </w:rPr>
              <w:t>2.支持频率：865MHz、915MHz（865-868MHz或902-928MHz）</w:t>
            </w:r>
          </w:p>
          <w:p>
            <w:pPr>
              <w:widowControl/>
              <w:jc w:val="left"/>
              <w:rPr>
                <w:rFonts w:ascii="宋体" w:hAnsi="宋体" w:cs="宋体"/>
                <w:sz w:val="22"/>
                <w:szCs w:val="22"/>
              </w:rPr>
            </w:pPr>
            <w:r>
              <w:rPr>
                <w:rFonts w:ascii="宋体" w:hAnsi="宋体" w:cs="宋体"/>
                <w:sz w:val="22"/>
                <w:szCs w:val="22"/>
              </w:rPr>
              <w:t xml:space="preserve">3.支持符号：1D：UPC/EAN, UPC/EAN , Code128, GS1-128, Code 39, Code 32, Code 93, Code11等；2D </w:t>
            </w:r>
            <w:r>
              <w:rPr>
                <w:rFonts w:hint="eastAsia" w:ascii="宋体" w:hAnsi="宋体" w:cs="宋体"/>
                <w:sz w:val="22"/>
                <w:szCs w:val="22"/>
              </w:rPr>
              <w:t>：</w:t>
            </w:r>
            <w:r>
              <w:rPr>
                <w:rFonts w:ascii="宋体" w:hAnsi="宋体" w:cs="宋体"/>
                <w:sz w:val="22"/>
                <w:szCs w:val="22"/>
              </w:rPr>
              <w:t xml:space="preserve"> PDF417, MicroPDF417,Data Matrix, Maxicode, QR Code, MicroQR, Aztec </w:t>
            </w:r>
            <w:r>
              <w:rPr>
                <w:rFonts w:hint="eastAsia" w:ascii="宋体" w:hAnsi="宋体" w:cs="宋体"/>
                <w:sz w:val="22"/>
                <w:szCs w:val="22"/>
              </w:rPr>
              <w:t>等。</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摄像头</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ascii="宋体" w:hAnsi="宋体" w:cs="宋体"/>
                <w:sz w:val="22"/>
                <w:szCs w:val="22"/>
              </w:rPr>
              <w:t>1.前置摄像头：前置≥500万像素摄像头</w:t>
            </w:r>
            <w:r>
              <w:rPr>
                <w:rFonts w:ascii="宋体" w:hAnsi="宋体" w:cs="宋体"/>
                <w:sz w:val="22"/>
                <w:szCs w:val="22"/>
              </w:rPr>
              <w:br w:type="textWrapping"/>
            </w:r>
            <w:r>
              <w:rPr>
                <w:rFonts w:ascii="宋体" w:hAnsi="宋体" w:cs="宋体"/>
                <w:sz w:val="22"/>
                <w:szCs w:val="22"/>
              </w:rPr>
              <w:t xml:space="preserve">2.后置摄像头：后置≥1300万像素摄像头， </w:t>
            </w:r>
            <w:r>
              <w:rPr>
                <w:rFonts w:hint="eastAsia" w:ascii="宋体" w:hAnsi="宋体" w:cs="宋体"/>
                <w:sz w:val="22"/>
                <w:szCs w:val="22"/>
              </w:rPr>
              <w:t>带闪光灯、自动对焦功能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识读距离</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ascii="宋体" w:hAnsi="宋体" w:cs="宋体"/>
                <w:sz w:val="22"/>
                <w:szCs w:val="22"/>
              </w:rPr>
              <w:t>RFID读取距离&gt;2.5cm (ISO15693), &gt;1.5cm(ISO14443A)，&gt;0.5cm(ISO14443B)(距离与标签有关)；</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距离越长越优</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电池</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w:t>
            </w:r>
            <w:r>
              <w:rPr>
                <w:rFonts w:ascii="宋体" w:hAnsi="宋体" w:cs="宋体"/>
                <w:sz w:val="22"/>
                <w:szCs w:val="22"/>
              </w:rPr>
              <w:t>6000mAh锂电池</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时间越长越优</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功能要求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信息显示</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支持盘点时实时显示仪器名称、所属科室、功能介绍、当前工作状态等基础信息</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要求的功能齐全完整，显示信息越多越优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数据上传</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支持盘点仪器信息自动上传大仪平台</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数据交互</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支持与大仪平台仪器信息实时同步</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兼容性要求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网络兼容</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支持有线、无线、蓝牙功能</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标签兼容</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支持条码、有源</w:t>
            </w:r>
            <w:r>
              <w:rPr>
                <w:rFonts w:ascii="宋体" w:hAnsi="宋体" w:cs="宋体"/>
                <w:sz w:val="22"/>
                <w:szCs w:val="22"/>
              </w:rPr>
              <w:t>RFID，NFC协议</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要求的功能齐全完整，支持类型越多越优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安全要求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传输安全</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使用加密算法对数据进行加密和解密操作</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断网保护</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page"/>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page"/>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支持断网存储功能，具备自动存储</w:t>
            </w:r>
            <w:r>
              <w:rPr>
                <w:rFonts w:ascii="宋体" w:hAnsi="宋体" w:cs="宋体"/>
                <w:sz w:val="22"/>
                <w:szCs w:val="22"/>
              </w:rPr>
              <w:t>30天内盘点记录</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要求的功能齐全完整，存储时间越长越优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6</w:t>
            </w:r>
          </w:p>
        </w:tc>
        <w:tc>
          <w:tcPr>
            <w:tcW w:w="152" w:type="pct"/>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无线网卡</w:t>
            </w:r>
          </w:p>
        </w:tc>
        <w:tc>
          <w:tcPr>
            <w:tcW w:w="153" w:type="pct"/>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性能要求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传输速率</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w:t>
            </w:r>
            <w:r>
              <w:rPr>
                <w:rFonts w:ascii="宋体" w:hAnsi="宋体" w:cs="宋体"/>
                <w:sz w:val="22"/>
                <w:szCs w:val="22"/>
              </w:rPr>
              <w:t>2.4GHz、5GHz</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要求的功能齐全完整，配置越高越优</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15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兼容性要求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系统兼容</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支持</w:t>
            </w:r>
            <w:r>
              <w:rPr>
                <w:rFonts w:ascii="宋体" w:hAnsi="宋体" w:cs="宋体"/>
                <w:sz w:val="22"/>
                <w:szCs w:val="22"/>
              </w:rPr>
              <w:t>Windows、Linux、Unix系统，2.4G、5G，USB3.0，兼容USB2.0</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nil"/>
              <w:right w:val="single" w:color="auto" w:sz="4" w:space="0"/>
            </w:tcBorders>
            <w:vAlign w:val="center"/>
          </w:tcPr>
          <w:p>
            <w:pPr>
              <w:widowControl/>
              <w:jc w:val="left"/>
              <w:rPr>
                <w:rFonts w:ascii="宋体" w:hAnsi="宋体" w:cs="宋体"/>
                <w:sz w:val="22"/>
                <w:szCs w:val="22"/>
              </w:rPr>
            </w:pP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安全要求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加密方式</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ascii="宋体" w:hAnsi="宋体" w:cs="宋体"/>
                <w:sz w:val="22"/>
                <w:szCs w:val="22"/>
              </w:rPr>
              <w:t>WPA2*; WPA3*</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要求的功能齐全完整，支持的安全类型越多越优</w:t>
            </w:r>
          </w:p>
        </w:tc>
        <w:tc>
          <w:tcPr>
            <w:tcW w:w="639"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产品说明书</w:t>
            </w:r>
          </w:p>
        </w:tc>
      </w:tr>
      <w:tr>
        <w:tblPrEx>
          <w:tblCellMar>
            <w:top w:w="0" w:type="dxa"/>
            <w:left w:w="108" w:type="dxa"/>
            <w:bottom w:w="0" w:type="dxa"/>
            <w:right w:w="108" w:type="dxa"/>
          </w:tblCellMar>
        </w:tblPrEx>
        <w:trPr>
          <w:wBefore w:w="0" w:type="auto"/>
          <w:trHeight w:val="864" w:hRule="atLeast"/>
        </w:trPr>
        <w:tc>
          <w:tcPr>
            <w:tcW w:w="1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7</w:t>
            </w:r>
          </w:p>
        </w:tc>
        <w:tc>
          <w:tcPr>
            <w:tcW w:w="15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安装调试服务</w:t>
            </w:r>
          </w:p>
        </w:tc>
        <w:tc>
          <w:tcPr>
            <w:tcW w:w="15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整体要求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服务内容</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设备安装、调试及根据实际需求的个性化开发工作量（含上位机无线网卡等配件的安装、调试）</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要求的功能齐全完整</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ascii="宋体" w:hAnsi="宋体" w:cs="宋体"/>
                <w:sz w:val="22"/>
                <w:szCs w:val="22"/>
              </w:rPr>
              <w:t>8</w:t>
            </w:r>
          </w:p>
        </w:tc>
        <w:tc>
          <w:tcPr>
            <w:tcW w:w="15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维护人员驻场服务</w:t>
            </w:r>
          </w:p>
        </w:tc>
        <w:tc>
          <w:tcPr>
            <w:tcW w:w="153"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整体要求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服务内容</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评分因素□</w:t>
            </w:r>
            <w:r>
              <w:rPr>
                <w:rFonts w:ascii="宋体" w:hAnsi="宋体" w:cs="宋体"/>
                <w:sz w:val="22"/>
                <w:szCs w:val="22"/>
              </w:rPr>
              <w:br w:type="page"/>
            </w:r>
          </w:p>
          <w:p>
            <w:pPr>
              <w:widowControl/>
              <w:jc w:val="right"/>
              <w:rPr>
                <w:rFonts w:ascii="宋体" w:hAnsi="宋体" w:cs="宋体"/>
                <w:sz w:val="22"/>
                <w:szCs w:val="22"/>
              </w:rPr>
            </w:pP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服务内容：包括但不限于本项目的项目实施管理服务、用户培训服务、后续开发服务、平台升级维护；智能电源、实验室门禁、物联网资产标签等本项目所有安装硬件的维保和质保，及本项目正常运行所需的巡检服务，</w:t>
            </w:r>
            <w:r>
              <w:rPr>
                <w:rFonts w:ascii="宋体" w:hAnsi="宋体" w:cs="宋体"/>
                <w:sz w:val="22"/>
                <w:szCs w:val="22"/>
              </w:rPr>
              <w:t xml:space="preserve"> </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要求的功能齐全完整，维护的内容越多越优</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trHeight w:val="864" w:hRule="atLeast"/>
        </w:trPr>
        <w:tc>
          <w:tcPr>
            <w:tcW w:w="152" w:type="pct"/>
            <w:vMerge w:val="continue"/>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人员要求</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驻场人员1名，具备计算机中级职称，不少于3年工作经验</w:t>
            </w:r>
          </w:p>
        </w:tc>
        <w:tc>
          <w:tcPr>
            <w:tcW w:w="850"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人员越多越好，职称越高越好，工作经验越长越好</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r>
        <w:tblPrEx>
          <w:tblCellMar>
            <w:top w:w="0" w:type="dxa"/>
            <w:left w:w="108" w:type="dxa"/>
            <w:bottom w:w="0" w:type="dxa"/>
            <w:right w:w="108" w:type="dxa"/>
          </w:tblCellMar>
        </w:tblPrEx>
        <w:trPr>
          <w:wBefore w:w="0" w:type="auto"/>
          <w:trHeight w:val="864" w:hRule="atLeast"/>
        </w:trPr>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2"/>
                <w:szCs w:val="22"/>
              </w:rPr>
            </w:pPr>
          </w:p>
        </w:tc>
        <w:tc>
          <w:tcPr>
            <w:tcW w:w="153"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2"/>
                <w:szCs w:val="22"/>
              </w:rPr>
            </w:pP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服务年限</w:t>
            </w:r>
          </w:p>
        </w:tc>
        <w:tc>
          <w:tcPr>
            <w:tcW w:w="223" w:type="pc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 w:val="22"/>
                <w:szCs w:val="22"/>
              </w:rPr>
            </w:pPr>
            <w:r>
              <w:rPr>
                <w:rFonts w:hint="eastAsia" w:ascii="宋体" w:hAnsi="宋体" w:cs="宋体"/>
                <w:sz w:val="22"/>
                <w:szCs w:val="22"/>
              </w:rPr>
              <w:t>……</w:t>
            </w:r>
          </w:p>
        </w:tc>
        <w:tc>
          <w:tcPr>
            <w:tcW w:w="886" w:type="pct"/>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sz w:val="22"/>
                <w:szCs w:val="22"/>
              </w:rPr>
            </w:pPr>
            <w:r>
              <w:rPr>
                <w:rFonts w:hint="eastAsia" w:ascii="宋体" w:hAnsi="宋体" w:cs="宋体"/>
                <w:sz w:val="22"/>
                <w:szCs w:val="22"/>
              </w:rPr>
              <w:t>强制要求□</w:t>
            </w:r>
            <w:r>
              <w:rPr>
                <w:rFonts w:ascii="宋体" w:hAnsi="宋体" w:cs="宋体"/>
                <w:sz w:val="22"/>
                <w:szCs w:val="22"/>
              </w:rPr>
              <w:br w:type="textWrapping"/>
            </w:r>
            <w:r>
              <w:rPr>
                <w:rFonts w:hint="eastAsia" w:ascii="宋体" w:hAnsi="宋体" w:cs="宋体"/>
                <w:sz w:val="22"/>
                <w:szCs w:val="22"/>
              </w:rPr>
              <w:t>评分因素</w:t>
            </w:r>
            <w:r>
              <w:rPr>
                <w:rFonts w:ascii="Wingdings" w:hAnsi="Wingdings" w:cs="宋体"/>
                <w:sz w:val="22"/>
                <w:szCs w:val="22"/>
              </w:rPr>
              <w:t></w:t>
            </w:r>
            <w:r>
              <w:rPr>
                <w:rFonts w:ascii="宋体" w:hAnsi="宋体" w:cs="宋体"/>
                <w:sz w:val="22"/>
                <w:szCs w:val="22"/>
              </w:rPr>
              <w:br w:type="textWrapping"/>
            </w:r>
            <w:r>
              <w:rPr>
                <w:rFonts w:hint="eastAsia" w:ascii="宋体" w:hAnsi="宋体" w:cs="宋体"/>
                <w:sz w:val="22"/>
                <w:szCs w:val="22"/>
              </w:rPr>
              <w:t>建议作为重要指标，适当增加分值权重□</w:t>
            </w:r>
          </w:p>
        </w:tc>
        <w:tc>
          <w:tcPr>
            <w:tcW w:w="1722" w:type="pct"/>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sz w:val="22"/>
                <w:szCs w:val="22"/>
              </w:rPr>
            </w:pPr>
            <w:r>
              <w:rPr>
                <w:rFonts w:hint="eastAsia" w:ascii="宋体" w:hAnsi="宋体" w:cs="宋体"/>
                <w:sz w:val="22"/>
                <w:szCs w:val="22"/>
              </w:rPr>
              <w:t>验收通过起计算≥</w:t>
            </w:r>
            <w:r>
              <w:rPr>
                <w:rFonts w:ascii="宋体" w:hAnsi="宋体" w:cs="宋体"/>
                <w:sz w:val="22"/>
                <w:szCs w:val="22"/>
              </w:rPr>
              <w:t>1年（驻场）</w:t>
            </w:r>
          </w:p>
        </w:tc>
        <w:tc>
          <w:tcPr>
            <w:tcW w:w="850"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驻场时间越长越好</w:t>
            </w:r>
          </w:p>
        </w:tc>
        <w:tc>
          <w:tcPr>
            <w:tcW w:w="639" w:type="pct"/>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sz w:val="22"/>
                <w:szCs w:val="22"/>
              </w:rPr>
            </w:pPr>
            <w:r>
              <w:rPr>
                <w:rFonts w:hint="eastAsia" w:ascii="宋体" w:hAnsi="宋体" w:cs="宋体"/>
                <w:sz w:val="22"/>
                <w:szCs w:val="22"/>
              </w:rPr>
              <w:t>供应商书面承诺。</w:t>
            </w:r>
          </w:p>
        </w:tc>
      </w:tr>
    </w:tbl>
    <w:p>
      <w:pPr>
        <w:snapToGrid w:val="0"/>
        <w:spacing w:line="579" w:lineRule="exact"/>
        <w:rPr>
          <w:rFonts w:ascii="仿宋_GB2312" w:hAnsi="Times New Roman" w:eastAsia="仿宋_GB2312" w:cs="Times New Roman"/>
          <w:sz w:val="32"/>
          <w:szCs w:val="32"/>
        </w:rPr>
        <w:sectPr>
          <w:pgSz w:w="16838" w:h="11906" w:orient="landscape"/>
          <w:pgMar w:top="1588" w:right="2098" w:bottom="1474" w:left="1985" w:header="851" w:footer="1434" w:gutter="0"/>
          <w:pgNumType w:start="1"/>
          <w:cols w:space="720" w:num="1"/>
          <w:docGrid w:type="linesAndChars" w:linePitch="435" w:charSpace="0"/>
        </w:sectPr>
      </w:pPr>
    </w:p>
    <w:p>
      <w:pPr>
        <w:spacing w:line="572" w:lineRule="exact"/>
        <w:ind w:firstLine="683" w:firstLineChars="200"/>
        <w:outlineLvl w:val="2"/>
        <w:rPr>
          <w:rFonts w:ascii="仿宋_GB2312" w:hAnsi="仿宋" w:eastAsia="仿宋_GB2312" w:cs="Times New Roman"/>
          <w:b/>
          <w:bCs/>
          <w:spacing w:val="10"/>
          <w:sz w:val="32"/>
          <w:szCs w:val="32"/>
        </w:rPr>
      </w:pPr>
      <w:r>
        <w:rPr>
          <w:rFonts w:ascii="仿宋_GB2312" w:hAnsi="仿宋" w:eastAsia="仿宋_GB2312" w:cs="Times New Roman"/>
          <w:b/>
          <w:bCs/>
          <w:spacing w:val="10"/>
          <w:sz w:val="32"/>
          <w:szCs w:val="32"/>
        </w:rPr>
        <w:t>4.验收标准方法</w:t>
      </w:r>
    </w:p>
    <w:p>
      <w:pPr>
        <w:spacing w:line="579"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采购单位依据采购文件技术要求拟定验收方案，建设完成后，中标供应商提出验收申请，采购单位根据合同中有关技术要求和系统配置按清单组织验收。</w:t>
      </w:r>
    </w:p>
    <w:p>
      <w:pPr>
        <w:spacing w:line="579" w:lineRule="exact"/>
        <w:ind w:firstLine="683" w:firstLineChars="200"/>
        <w:rPr>
          <w:rFonts w:ascii="仿宋_GB2312" w:hAnsi="仿宋" w:eastAsia="仿宋_GB2312" w:cs="Times New Roman"/>
          <w:b/>
          <w:bCs/>
          <w:spacing w:val="10"/>
          <w:sz w:val="32"/>
          <w:szCs w:val="32"/>
        </w:rPr>
      </w:pPr>
      <w:r>
        <w:rPr>
          <w:rFonts w:ascii="仿宋_GB2312" w:hAnsi="仿宋" w:eastAsia="仿宋_GB2312" w:cs="Times New Roman"/>
          <w:b/>
          <w:bCs/>
          <w:spacing w:val="10"/>
          <w:sz w:val="32"/>
          <w:szCs w:val="32"/>
        </w:rPr>
        <w:t>5.其他需要明确的技术要求</w:t>
      </w:r>
    </w:p>
    <w:p>
      <w:pPr>
        <w:widowControl/>
        <w:spacing w:line="579" w:lineRule="exact"/>
        <w:ind w:firstLine="640" w:firstLineChars="200"/>
        <w:jc w:val="left"/>
        <w:rPr>
          <w:rFonts w:ascii="仿宋_GB2312" w:hAnsi="Times New Roman" w:eastAsia="仿宋_GB2312" w:cs="Times New Roman"/>
          <w:sz w:val="32"/>
          <w:szCs w:val="32"/>
        </w:rPr>
      </w:pPr>
      <w:r>
        <w:rPr>
          <w:rFonts w:hint="eastAsia" w:ascii="仿宋_GB2312" w:hAnsi="仿宋" w:eastAsia="仿宋_GB2312" w:cs="仿宋"/>
          <w:sz w:val="32"/>
          <w:szCs w:val="32"/>
        </w:rPr>
        <w:t>应当满足的质量、安全、卫生、技术规格、性能、物理特性（外观、结构、材料）等要求。</w:t>
      </w:r>
    </w:p>
    <w:p>
      <w:pPr>
        <w:pStyle w:val="17"/>
        <w:sectPr>
          <w:pgSz w:w="11906" w:h="16838"/>
          <w:pgMar w:top="2098" w:right="1474" w:bottom="1985" w:left="1588" w:header="851" w:footer="1434" w:gutter="0"/>
          <w:pgNumType w:start="1"/>
          <w:cols w:space="720" w:num="1"/>
          <w:docGrid w:type="lines" w:linePitch="435" w:charSpace="0"/>
        </w:sectPr>
      </w:pPr>
    </w:p>
    <w:p>
      <w:pPr>
        <w:spacing w:line="560" w:lineRule="exact"/>
        <w:outlineLvl w:val="1"/>
        <w:rPr>
          <w:rFonts w:ascii="仿宋_GB2312" w:hAnsi="宋体" w:eastAsia="仿宋_GB2312" w:cs="Times New Roman"/>
          <w:b/>
          <w:bCs/>
          <w:sz w:val="32"/>
          <w:szCs w:val="32"/>
        </w:rPr>
      </w:pPr>
      <w:r>
        <w:rPr>
          <w:rFonts w:hint="eastAsia" w:ascii="仿宋_GB2312" w:hAnsi="宋体" w:eastAsia="仿宋_GB2312" w:cs="Times New Roman"/>
          <w:b/>
          <w:bCs/>
          <w:sz w:val="32"/>
          <w:szCs w:val="32"/>
        </w:rPr>
        <w:t>（二）经济要求</w:t>
      </w: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1.预算安排</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本次采购项目预算最高限价2489982.93</w:t>
      </w:r>
      <w:r>
        <w:rPr>
          <w:rFonts w:ascii="仿宋_GB2312" w:hAnsi="仿宋" w:eastAsia="仿宋_GB2312" w:cs="Times New Roman"/>
          <w:kern w:val="2"/>
          <w:sz w:val="32"/>
          <w:szCs w:val="32"/>
        </w:rPr>
        <w:t>元，将全部用于标的内容采购。</w:t>
      </w: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2.标的数量</w:t>
      </w:r>
    </w:p>
    <w:p>
      <w:pPr>
        <w:snapToGrid w:val="0"/>
        <w:spacing w:line="579" w:lineRule="exact"/>
        <w:ind w:firstLine="640" w:firstLineChars="200"/>
        <w:rPr>
          <w:rFonts w:ascii="仿宋_GB2312" w:hAnsi="Times New Roman" w:eastAsia="仿宋_GB2312" w:cs="Times New Roman"/>
          <w:sz w:val="32"/>
          <w:szCs w:val="32"/>
        </w:rPr>
      </w:pPr>
      <w:r>
        <w:rPr>
          <w:rFonts w:hint="eastAsia" w:ascii="仿宋_GB2312" w:hAnsi="仿宋" w:eastAsia="仿宋_GB2312" w:cs="Times New Roman"/>
          <w:kern w:val="2"/>
          <w:sz w:val="32"/>
          <w:szCs w:val="32"/>
        </w:rPr>
        <w:t>采购数量：</w:t>
      </w:r>
      <w:r>
        <w:rPr>
          <w:rFonts w:ascii="仿宋_GB2312" w:hAnsi="仿宋" w:eastAsia="仿宋_GB2312" w:cs="Times New Roman"/>
          <w:kern w:val="2"/>
          <w:sz w:val="32"/>
          <w:szCs w:val="32"/>
        </w:rPr>
        <w:t>1套仪器设备预约共享管理系统软件（含数据库），270个物联网智能电源，70套实验室门禁，2</w:t>
      </w:r>
      <w:r>
        <w:rPr>
          <w:rFonts w:hint="eastAsia" w:ascii="仿宋_GB2312" w:hAnsi="仿宋" w:eastAsia="仿宋_GB2312" w:cs="Times New Roman"/>
          <w:kern w:val="2"/>
          <w:sz w:val="32"/>
          <w:szCs w:val="32"/>
        </w:rPr>
        <w:t>86</w:t>
      </w:r>
      <w:r>
        <w:rPr>
          <w:rFonts w:ascii="仿宋_GB2312" w:hAnsi="仿宋" w:eastAsia="仿宋_GB2312" w:cs="Times New Roman"/>
          <w:kern w:val="2"/>
          <w:sz w:val="32"/>
          <w:szCs w:val="32"/>
        </w:rPr>
        <w:t>个物联网标签，10</w:t>
      </w:r>
      <w:r>
        <w:rPr>
          <w:rFonts w:hint="eastAsia" w:ascii="仿宋_GB2312" w:hAnsi="仿宋" w:eastAsia="仿宋_GB2312" w:cs="Times New Roman"/>
          <w:kern w:val="2"/>
          <w:sz w:val="32"/>
          <w:szCs w:val="32"/>
        </w:rPr>
        <w:t>台手持盘点仪，</w:t>
      </w:r>
      <w:r>
        <w:rPr>
          <w:rFonts w:ascii="仿宋_GB2312" w:hAnsi="仿宋" w:eastAsia="仿宋_GB2312" w:cs="Times New Roman"/>
          <w:kern w:val="2"/>
          <w:sz w:val="32"/>
          <w:szCs w:val="32"/>
        </w:rPr>
        <w:t>30个无线网卡，</w:t>
      </w:r>
      <w:r>
        <w:rPr>
          <w:rFonts w:hint="eastAsia" w:ascii="仿宋_GB2312" w:hAnsi="仿宋" w:eastAsia="仿宋_GB2312" w:cs="Times New Roman"/>
          <w:kern w:val="2"/>
          <w:sz w:val="32"/>
          <w:szCs w:val="32"/>
        </w:rPr>
        <w:t>安装调试服务，驻场维护服务。</w:t>
      </w:r>
      <w:r>
        <w:rPr>
          <w:rFonts w:hint="eastAsia" w:ascii="仿宋_GB2312" w:hAnsi="Times New Roman" w:eastAsia="仿宋_GB2312" w:cs="Times New Roman"/>
          <w:sz w:val="32"/>
          <w:szCs w:val="32"/>
        </w:rPr>
        <w:t>清单如下表（包含但不限于表中项目内容）：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1"/>
        <w:gridCol w:w="2700"/>
        <w:gridCol w:w="1782"/>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1341" w:type="dxa"/>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序号</w:t>
            </w:r>
          </w:p>
        </w:tc>
        <w:tc>
          <w:tcPr>
            <w:tcW w:w="2700" w:type="dxa"/>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名称</w:t>
            </w:r>
          </w:p>
        </w:tc>
        <w:tc>
          <w:tcPr>
            <w:tcW w:w="1782" w:type="dxa"/>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单位</w:t>
            </w:r>
          </w:p>
        </w:tc>
        <w:tc>
          <w:tcPr>
            <w:tcW w:w="2699" w:type="dxa"/>
            <w:vAlign w:val="center"/>
          </w:tcPr>
          <w:p>
            <w:pPr>
              <w:widowControl/>
              <w:spacing w:line="320" w:lineRule="exact"/>
              <w:jc w:val="center"/>
              <w:rPr>
                <w:rFonts w:ascii="仿宋_GB2312" w:hAnsi="仿宋_GB2312" w:eastAsia="仿宋_GB2312" w:cs="仿宋_GB2312"/>
                <w:b/>
                <w:bCs/>
                <w:sz w:val="21"/>
              </w:rPr>
            </w:pPr>
            <w:r>
              <w:rPr>
                <w:rFonts w:hint="eastAsia" w:ascii="仿宋_GB2312" w:hAnsi="仿宋_GB2312" w:eastAsia="仿宋_GB2312" w:cs="仿宋_GB2312"/>
                <w:b/>
                <w:bCs/>
                <w:sz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1</w:t>
            </w:r>
          </w:p>
        </w:tc>
        <w:tc>
          <w:tcPr>
            <w:tcW w:w="2700"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kern w:val="0"/>
                <w:sz w:val="21"/>
                <w:szCs w:val="21"/>
              </w:rPr>
              <w:t>仪器设备预约共享管理系统软件</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套</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2</w:t>
            </w:r>
          </w:p>
        </w:tc>
        <w:tc>
          <w:tcPr>
            <w:tcW w:w="2700"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物联网智能电源</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台</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3</w:t>
            </w:r>
          </w:p>
        </w:tc>
        <w:tc>
          <w:tcPr>
            <w:tcW w:w="2700"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实验室门禁</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套</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4</w:t>
            </w:r>
          </w:p>
        </w:tc>
        <w:tc>
          <w:tcPr>
            <w:tcW w:w="2700"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物联网资产标签</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个</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2</w:t>
            </w:r>
            <w:r>
              <w:rPr>
                <w:rFonts w:hint="eastAsia" w:ascii="仿宋_GB2312" w:hAnsi="仿宋_GB2312" w:eastAsia="仿宋_GB2312" w:cs="仿宋_GB2312"/>
                <w:sz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5</w:t>
            </w:r>
          </w:p>
        </w:tc>
        <w:tc>
          <w:tcPr>
            <w:tcW w:w="2700"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手持盘点仪</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台</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6</w:t>
            </w:r>
          </w:p>
        </w:tc>
        <w:tc>
          <w:tcPr>
            <w:tcW w:w="2700"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无线网卡</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个</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7</w:t>
            </w:r>
          </w:p>
        </w:tc>
        <w:tc>
          <w:tcPr>
            <w:tcW w:w="2700"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安装调试服务</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项</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8</w:t>
            </w:r>
          </w:p>
        </w:tc>
        <w:tc>
          <w:tcPr>
            <w:tcW w:w="2700"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驻场维护服务</w:t>
            </w:r>
          </w:p>
        </w:tc>
        <w:tc>
          <w:tcPr>
            <w:tcW w:w="1782" w:type="dxa"/>
            <w:vAlign w:val="center"/>
          </w:tcPr>
          <w:p>
            <w:pPr>
              <w:widowControl/>
              <w:spacing w:line="320" w:lineRule="exact"/>
              <w:jc w:val="center"/>
              <w:rPr>
                <w:rFonts w:ascii="仿宋_GB2312" w:hAnsi="仿宋_GB2312" w:eastAsia="仿宋_GB2312" w:cs="仿宋_GB2312"/>
                <w:sz w:val="21"/>
              </w:rPr>
            </w:pPr>
            <w:r>
              <w:rPr>
                <w:rFonts w:hint="eastAsia" w:ascii="仿宋_GB2312" w:hAnsi="仿宋_GB2312" w:eastAsia="仿宋_GB2312" w:cs="仿宋_GB2312"/>
                <w:sz w:val="21"/>
              </w:rPr>
              <w:t>项</w:t>
            </w:r>
          </w:p>
        </w:tc>
        <w:tc>
          <w:tcPr>
            <w:tcW w:w="2699" w:type="dxa"/>
            <w:vAlign w:val="center"/>
          </w:tcPr>
          <w:p>
            <w:pPr>
              <w:widowControl/>
              <w:spacing w:line="320" w:lineRule="exact"/>
              <w:jc w:val="center"/>
              <w:rPr>
                <w:rFonts w:ascii="仿宋_GB2312" w:hAnsi="仿宋_GB2312" w:eastAsia="仿宋_GB2312" w:cs="仿宋_GB2312"/>
                <w:sz w:val="21"/>
              </w:rPr>
            </w:pPr>
            <w:r>
              <w:rPr>
                <w:rFonts w:ascii="仿宋_GB2312" w:hAnsi="仿宋_GB2312" w:eastAsia="仿宋_GB2312" w:cs="仿宋_GB2312"/>
                <w:sz w:val="21"/>
              </w:rPr>
              <w:t>1</w:t>
            </w:r>
          </w:p>
        </w:tc>
      </w:tr>
    </w:tbl>
    <w:p>
      <w:pPr>
        <w:overflowPunct w:val="0"/>
        <w:spacing w:line="530" w:lineRule="exact"/>
        <w:ind w:firstLine="640" w:firstLineChars="200"/>
        <w:rPr>
          <w:rFonts w:ascii="仿宋_GB2312" w:hAnsi="仿宋" w:eastAsia="仿宋_GB2312" w:cs="Times New Roman"/>
          <w:kern w:val="2"/>
          <w:sz w:val="32"/>
          <w:szCs w:val="32"/>
        </w:rPr>
      </w:pPr>
    </w:p>
    <w:p>
      <w:pPr>
        <w:overflowPunct w:val="0"/>
        <w:spacing w:line="530" w:lineRule="exact"/>
        <w:ind w:firstLine="640" w:firstLineChars="200"/>
        <w:rPr>
          <w:rFonts w:ascii="仿宋_GB2312" w:hAnsi="仿宋" w:eastAsia="仿宋_GB2312" w:cs="Times New Roman"/>
          <w:kern w:val="2"/>
          <w:sz w:val="32"/>
          <w:szCs w:val="32"/>
        </w:rPr>
      </w:pP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3.交付实施要求</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自合同签订生效之日起，</w:t>
      </w:r>
      <w:r>
        <w:rPr>
          <w:rFonts w:ascii="仿宋_GB2312" w:hAnsi="仿宋" w:eastAsia="仿宋_GB2312" w:cs="Times New Roman"/>
          <w:kern w:val="2"/>
          <w:sz w:val="32"/>
          <w:szCs w:val="32"/>
        </w:rPr>
        <w:t>90天内完成安装、调试，120天内完成交付及验收，交付地点为重庆市沙坪坝高滩岩正街30号陆军军医大学</w:t>
      </w:r>
      <w:r>
        <w:rPr>
          <w:rFonts w:hint="eastAsia" w:ascii="仿宋_GB2312" w:hAnsi="仿宋" w:eastAsia="仿宋_GB2312" w:cs="Times New Roman"/>
          <w:kern w:val="2"/>
          <w:sz w:val="32"/>
          <w:szCs w:val="32"/>
        </w:rPr>
        <w:t>。</w:t>
      </w: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4.质量保证和售后服务</w:t>
      </w:r>
    </w:p>
    <w:p>
      <w:pPr>
        <w:overflowPunct w:val="0"/>
        <w:spacing w:line="530" w:lineRule="exact"/>
        <w:ind w:firstLine="640" w:firstLineChars="200"/>
        <w:outlineLvl w:val="3"/>
        <w:rPr>
          <w:rFonts w:ascii="仿宋_GB2312" w:hAnsi="仿宋" w:eastAsia="仿宋_GB2312" w:cs="Times New Roman"/>
          <w:sz w:val="32"/>
          <w:szCs w:val="32"/>
        </w:rPr>
      </w:pPr>
      <w:r>
        <w:rPr>
          <w:rFonts w:ascii="仿宋_GB2312" w:hAnsi="仿宋" w:eastAsia="仿宋_GB2312" w:cs="Times New Roman"/>
          <w:sz w:val="32"/>
          <w:szCs w:val="32"/>
        </w:rPr>
        <w:t>4.1.履约保证金</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_GB2312" w:eastAsia="仿宋_GB2312" w:cs="仿宋_GB2312"/>
          <w:bCs/>
          <w:snapToGrid w:val="0"/>
          <w:sz w:val="32"/>
          <w:szCs w:val="32"/>
        </w:rPr>
        <w:t>中标供应商签订采购合同前，应当按合同金额的</w:t>
      </w:r>
      <w:r>
        <w:rPr>
          <w:rFonts w:ascii="仿宋_GB2312" w:hAnsi="仿宋_GB2312" w:eastAsia="仿宋_GB2312" w:cs="仿宋_GB2312"/>
          <w:bCs/>
          <w:snapToGrid w:val="0"/>
          <w:sz w:val="32"/>
          <w:szCs w:val="32"/>
        </w:rPr>
        <w:t xml:space="preserve"> 5%(不超过10%)向采购单位提交履约保证金，履约保证金在质保期满且无质量问题时全额无息退还，甲方可以在合同最终支付结算时，一并办理履约保证全返还。</w:t>
      </w:r>
    </w:p>
    <w:p>
      <w:pPr>
        <w:overflowPunct w:val="0"/>
        <w:spacing w:line="530" w:lineRule="exact"/>
        <w:ind w:firstLine="640" w:firstLineChars="200"/>
        <w:outlineLvl w:val="3"/>
        <w:rPr>
          <w:rFonts w:ascii="仿宋_GB2312" w:hAnsi="仿宋" w:eastAsia="仿宋_GB2312" w:cs="Times New Roman"/>
          <w:sz w:val="32"/>
          <w:szCs w:val="32"/>
        </w:rPr>
      </w:pPr>
      <w:r>
        <w:rPr>
          <w:rFonts w:ascii="仿宋_GB2312" w:hAnsi="仿宋" w:eastAsia="仿宋_GB2312" w:cs="Times New Roman"/>
          <w:sz w:val="32"/>
          <w:szCs w:val="32"/>
        </w:rPr>
        <w:t>4.2.售后服务</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1）质量保证期：自交货验收完毕之日起，所有产品质保</w:t>
      </w:r>
      <w:r>
        <w:rPr>
          <w:rFonts w:ascii="仿宋_GB2312" w:hAnsi="仿宋" w:eastAsia="仿宋_GB2312" w:cs="Times New Roman"/>
          <w:sz w:val="32"/>
          <w:szCs w:val="32"/>
          <w:u w:val="single"/>
        </w:rPr>
        <w:t xml:space="preserve">36 </w:t>
      </w:r>
      <w:r>
        <w:rPr>
          <w:rFonts w:hint="eastAsia" w:ascii="仿宋_GB2312" w:hAnsi="仿宋" w:eastAsia="仿宋_GB2312" w:cs="Times New Roman"/>
          <w:sz w:val="32"/>
          <w:szCs w:val="32"/>
        </w:rPr>
        <w:t>个月。投标供应商对提供的物资在质保期内，因产品质量而导致的缺陷，应当免费提供包修、包换、包退服务，因此导致的损失采购单位有权向中标供应商追偿。</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2）投标供应商应当承诺提供该物资的技术培训、技术支持和维修巡检服务，服务内容包括：</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①　培训支持：项目安装完，提供硬软件使用培训，培训时长不少于</w:t>
      </w:r>
      <w:r>
        <w:rPr>
          <w:rFonts w:ascii="仿宋_GB2312" w:hAnsi="仿宋" w:eastAsia="仿宋_GB2312" w:cs="Times New Roman"/>
          <w:sz w:val="32"/>
          <w:szCs w:val="32"/>
        </w:rPr>
        <w:t>8小时。</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②　培训内容包括但不限于提供必要的培训资料，并指派专业人员就所供货物及系统的组装、试运行、运行、使用等对使用人员进行现场培训。</w:t>
      </w:r>
    </w:p>
    <w:p>
      <w:pPr>
        <w:overflowPunct w:val="0"/>
        <w:spacing w:line="53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③　维修响应：接到维修消息，技术人员电话响应时间不超过</w:t>
      </w:r>
      <w:r>
        <w:rPr>
          <w:rFonts w:ascii="仿宋_GB2312" w:hAnsi="仿宋" w:eastAsia="仿宋_GB2312" w:cs="Times New Roman"/>
          <w:sz w:val="32"/>
          <w:szCs w:val="32"/>
        </w:rPr>
        <w:t>1小时。需现场维修，技术人员需在48小时内到达，进行维修工作。</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sz w:val="32"/>
          <w:szCs w:val="32"/>
        </w:rPr>
        <w:t>（</w:t>
      </w:r>
      <w:r>
        <w:rPr>
          <w:rFonts w:ascii="仿宋_GB2312" w:hAnsi="仿宋" w:eastAsia="仿宋_GB2312" w:cs="Times New Roman"/>
          <w:sz w:val="32"/>
          <w:szCs w:val="32"/>
        </w:rPr>
        <w:t>3）其他服务要求：无。</w:t>
      </w: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5.付款条件</w:t>
      </w:r>
    </w:p>
    <w:p>
      <w:pPr>
        <w:overflowPunct w:val="0"/>
        <w:spacing w:line="530" w:lineRule="exact"/>
        <w:ind w:firstLine="640" w:firstLineChars="200"/>
        <w:rPr>
          <w:rFonts w:ascii="仿宋_GB2312" w:hAnsi="仿宋" w:eastAsia="仿宋_GB2312" w:cs="Times New Roman"/>
          <w:kern w:val="2"/>
          <w:sz w:val="32"/>
          <w:szCs w:val="32"/>
        </w:rPr>
      </w:pPr>
      <w:r>
        <w:rPr>
          <w:rFonts w:ascii="仿宋_GB2312" w:hAnsi="仿宋" w:eastAsia="仿宋_GB2312" w:cs="Times New Roman"/>
          <w:kern w:val="2"/>
          <w:sz w:val="32"/>
          <w:szCs w:val="32"/>
        </w:rPr>
        <w:t>本项目不预付货款，</w:t>
      </w:r>
      <w:r>
        <w:rPr>
          <w:rFonts w:hint="eastAsia" w:ascii="仿宋_GB2312" w:hAnsi="仿宋" w:eastAsia="仿宋_GB2312" w:cs="Times New Roman"/>
          <w:kern w:val="2"/>
          <w:sz w:val="32"/>
          <w:szCs w:val="32"/>
        </w:rPr>
        <w:t>验收合格后支付合同价款的</w:t>
      </w:r>
      <w:r>
        <w:rPr>
          <w:rFonts w:ascii="仿宋_GB2312" w:hAnsi="仿宋" w:eastAsia="仿宋_GB2312" w:cs="Times New Roman"/>
          <w:kern w:val="2"/>
          <w:sz w:val="32"/>
          <w:szCs w:val="32"/>
        </w:rPr>
        <w:t>95%</w:t>
      </w:r>
      <w:r>
        <w:rPr>
          <w:rFonts w:hint="eastAsia" w:ascii="仿宋_GB2312" w:hAnsi="仿宋" w:eastAsia="仿宋_GB2312" w:cs="Times New Roman"/>
          <w:kern w:val="2"/>
          <w:sz w:val="32"/>
          <w:szCs w:val="32"/>
        </w:rPr>
        <w:t>，质保期结束后支付合同价款的</w:t>
      </w:r>
      <w:r>
        <w:rPr>
          <w:rFonts w:ascii="仿宋_GB2312" w:hAnsi="仿宋" w:eastAsia="仿宋_GB2312" w:cs="Times New Roman"/>
          <w:kern w:val="2"/>
          <w:sz w:val="32"/>
          <w:szCs w:val="32"/>
        </w:rPr>
        <w:t>5%。</w:t>
      </w: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6.包装、运输、专用工具、备品备件、报价要求、保险、</w:t>
      </w:r>
      <w:r>
        <w:rPr>
          <w:rFonts w:hint="eastAsia" w:ascii="仿宋_GB2312" w:hAnsi="Microsoft YaHei UI" w:eastAsia="仿宋_GB2312" w:cs="Microsoft YaHei UI"/>
          <w:b/>
          <w:bCs/>
          <w:spacing w:val="4"/>
          <w:kern w:val="2"/>
          <w:sz w:val="32"/>
          <w:szCs w:val="32"/>
          <w:shd w:val="clear" w:color="auto" w:fill="FFFFFF"/>
        </w:rPr>
        <w:t>保密和专利</w:t>
      </w:r>
      <w:r>
        <w:rPr>
          <w:rFonts w:hint="eastAsia" w:ascii="仿宋_GB2312" w:hAnsi="仿宋" w:eastAsia="仿宋_GB2312" w:cs="Times New Roman"/>
          <w:b/>
          <w:bCs/>
          <w:kern w:val="2"/>
          <w:sz w:val="32"/>
          <w:szCs w:val="32"/>
        </w:rPr>
        <w:t>等</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1）备品备件</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投标供应商应当提供物资生命周期内所需零备件和消耗品清单，并明确供应周期和价格等优惠条件。投标供应商应当承诺，对售后服务需求提供</w:t>
      </w:r>
      <w:r>
        <w:rPr>
          <w:rFonts w:ascii="仿宋_GB2312" w:hAnsi="仿宋" w:eastAsia="仿宋_GB2312" w:cs="Times New Roman"/>
          <w:kern w:val="2"/>
          <w:sz w:val="32"/>
          <w:szCs w:val="32"/>
          <w:u w:val="single"/>
        </w:rPr>
        <w:t xml:space="preserve"> 1 </w:t>
      </w:r>
      <w:r>
        <w:rPr>
          <w:rFonts w:hint="eastAsia" w:ascii="仿宋_GB2312" w:hAnsi="仿宋" w:eastAsia="仿宋_GB2312" w:cs="Times New Roman"/>
          <w:kern w:val="2"/>
          <w:sz w:val="32"/>
          <w:szCs w:val="32"/>
        </w:rPr>
        <w:t>小时电话响应，</w:t>
      </w:r>
      <w:r>
        <w:rPr>
          <w:rFonts w:ascii="仿宋_GB2312" w:hAnsi="仿宋" w:eastAsia="仿宋_GB2312" w:cs="Times New Roman"/>
          <w:kern w:val="2"/>
          <w:sz w:val="32"/>
          <w:szCs w:val="32"/>
          <w:u w:val="single"/>
        </w:rPr>
        <w:t xml:space="preserve"> 48</w:t>
      </w:r>
      <w:r>
        <w:rPr>
          <w:rFonts w:hint="eastAsia" w:ascii="仿宋_GB2312" w:hAnsi="仿宋" w:eastAsia="仿宋_GB2312" w:cs="Times New Roman"/>
          <w:kern w:val="2"/>
          <w:sz w:val="32"/>
          <w:szCs w:val="32"/>
        </w:rPr>
        <w:t>小时内到达现场实施维修。</w:t>
      </w:r>
      <w:r>
        <w:rPr>
          <w:rFonts w:ascii="仿宋_GB2312" w:hAnsi="仿宋" w:eastAsia="仿宋_GB2312" w:cs="Times New Roman"/>
          <w:kern w:val="2"/>
          <w:sz w:val="32"/>
          <w:szCs w:val="32"/>
          <w:u w:val="single"/>
        </w:rPr>
        <w:t xml:space="preserve">72 </w:t>
      </w:r>
      <w:r>
        <w:rPr>
          <w:rFonts w:hint="eastAsia" w:ascii="仿宋_GB2312" w:hAnsi="仿宋" w:eastAsia="仿宋_GB2312" w:cs="Times New Roman"/>
          <w:kern w:val="2"/>
          <w:sz w:val="32"/>
          <w:szCs w:val="32"/>
        </w:rPr>
        <w:t>小时仍未排除故障、恢复正常运转的，由投标供应商提供同类型备品、备件等。</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2）报价要求</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报价应当包括货款、标准附件、备品备件、专用工具、包装、安装、调试、培训、保修等费用和税金。</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投标供应商对同一种物资只允许有唯一报价，任何有选择的报价或有附加条件的报价，视为无效投标。</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3）专利及知识产权</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供应商应当保证采购单位在使用物资和服务时不受第三方提出侵犯其知识产权的指控，对此采购单位不承担任何连带责任或赔偿责任。</w:t>
      </w:r>
    </w:p>
    <w:p>
      <w:pPr>
        <w:overflowPunct w:val="0"/>
        <w:spacing w:line="530" w:lineRule="exact"/>
        <w:ind w:firstLine="600" w:firstLineChars="200"/>
        <w:rPr>
          <w:rFonts w:ascii="仿宋_GB2312" w:hAnsi="仿宋" w:eastAsia="仿宋_GB2312" w:cs="Times New Roman"/>
          <w:kern w:val="2"/>
          <w:sz w:val="32"/>
          <w:szCs w:val="32"/>
        </w:rPr>
      </w:pPr>
      <w:r>
        <w:rPr>
          <w:rFonts w:hint="eastAsia" w:ascii="Times New Roman" w:hAnsi="Times New Roman" w:eastAsia="仿宋_GB2312" w:cs="Times New Roman"/>
          <w:sz w:val="30"/>
          <w:szCs w:val="30"/>
        </w:rPr>
        <w:t>大型科教仪器设备共享管理平台</w:t>
      </w:r>
      <w:r>
        <w:rPr>
          <w:rFonts w:hint="eastAsia" w:ascii="仿宋_GB2312" w:hAnsi="仿宋" w:eastAsia="仿宋_GB2312" w:cs="Times New Roman"/>
          <w:kern w:val="2"/>
          <w:sz w:val="32"/>
          <w:szCs w:val="32"/>
        </w:rPr>
        <w:t>项目为定制开发，该项目的知识产权归采购单位所有。</w:t>
      </w: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7.打码标签</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1）乙方应当配合甲方完成合同内采购物资的编目编码工作，按照统一要求，提供物资相关数据信息，配合甲方做好编目</w:t>
      </w:r>
      <w:r>
        <w:rPr>
          <w:rFonts w:hint="eastAsia" w:ascii="仿宋_GB2312" w:hAnsi="仿宋" w:eastAsia="仿宋_GB2312" w:cs="Times New Roman"/>
          <w:kern w:val="2"/>
          <w:sz w:val="32"/>
          <w:szCs w:val="32"/>
        </w:rPr>
        <w:t>数据采集工作。涉密信息应当按照国家、军队安全保密有关规定进行处理，确保不发生失泄密问题。</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2）乙方应当按照统一要求在物资交付前完成打码贴签工作。</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ascii="仿宋_GB2312" w:hAnsi="仿宋" w:eastAsia="仿宋_GB2312" w:cs="Times New Roman"/>
          <w:kern w:val="2"/>
          <w:sz w:val="32"/>
          <w:szCs w:val="32"/>
        </w:rPr>
        <w:t>3）物资编目数据填报和打码贴签悄况，列入出厂验收、接收验收项目；编目数据、标识标签不符合规范要求的，验收不予通过，不得进入物资储存单位。乙方应当在7日内完成整改，重新协调甲方组织验收。</w:t>
      </w:r>
    </w:p>
    <w:p>
      <w:pPr>
        <w:overflowPunct w:val="0"/>
        <w:spacing w:line="530" w:lineRule="exact"/>
        <w:ind w:firstLine="643" w:firstLineChars="200"/>
        <w:outlineLvl w:val="2"/>
        <w:rPr>
          <w:rFonts w:ascii="仿宋_GB2312" w:hAnsi="仿宋" w:eastAsia="仿宋_GB2312" w:cs="Times New Roman"/>
          <w:b/>
          <w:bCs/>
          <w:kern w:val="2"/>
          <w:sz w:val="32"/>
          <w:szCs w:val="32"/>
        </w:rPr>
      </w:pPr>
      <w:r>
        <w:rPr>
          <w:rFonts w:ascii="仿宋_GB2312" w:hAnsi="仿宋" w:eastAsia="仿宋_GB2312" w:cs="Times New Roman"/>
          <w:b/>
          <w:bCs/>
          <w:kern w:val="2"/>
          <w:sz w:val="32"/>
          <w:szCs w:val="32"/>
        </w:rPr>
        <w:t>8.其他需要明确的事项</w:t>
      </w:r>
    </w:p>
    <w:p>
      <w:pPr>
        <w:overflowPunct w:val="0"/>
        <w:spacing w:line="53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无。</w:t>
      </w:r>
    </w:p>
    <w:p>
      <w:pPr>
        <w:spacing w:line="530" w:lineRule="exact"/>
        <w:outlineLvl w:val="1"/>
        <w:rPr>
          <w:rFonts w:ascii="仿宋_GB2312" w:hAnsi="宋体" w:eastAsia="仿宋_GB2312" w:cs="Times New Roman"/>
          <w:b/>
          <w:kern w:val="2"/>
          <w:sz w:val="32"/>
          <w:szCs w:val="32"/>
        </w:rPr>
      </w:pPr>
      <w:r>
        <w:rPr>
          <w:rFonts w:hint="eastAsia" w:ascii="仿宋_GB2312" w:hAnsi="宋体" w:eastAsia="仿宋_GB2312" w:cs="Times New Roman"/>
          <w:b/>
          <w:kern w:val="2"/>
          <w:sz w:val="32"/>
          <w:szCs w:val="32"/>
        </w:rPr>
        <w:t>（三）实施意见</w:t>
      </w:r>
    </w:p>
    <w:p>
      <w:pPr>
        <w:spacing w:line="530" w:lineRule="exact"/>
        <w:ind w:firstLine="643" w:firstLineChars="200"/>
        <w:outlineLvl w:val="2"/>
        <w:rPr>
          <w:rFonts w:ascii="仿宋_GB2312" w:hAnsi="宋体" w:eastAsia="仿宋_GB2312" w:cs="Times New Roman"/>
          <w:b/>
          <w:bCs/>
          <w:kern w:val="2"/>
          <w:sz w:val="32"/>
          <w:szCs w:val="32"/>
        </w:rPr>
      </w:pPr>
      <w:r>
        <w:rPr>
          <w:rFonts w:ascii="仿宋_GB2312" w:hAnsi="宋体" w:eastAsia="仿宋_GB2312" w:cs="Times New Roman"/>
          <w:b/>
          <w:bCs/>
          <w:kern w:val="2"/>
          <w:sz w:val="32"/>
          <w:szCs w:val="32"/>
        </w:rPr>
        <w:t>1.供应商资格条件设定</w:t>
      </w:r>
    </w:p>
    <w:p>
      <w:pPr>
        <w:pStyle w:val="11"/>
        <w:spacing w:line="530" w:lineRule="exact"/>
        <w:ind w:firstLine="640"/>
        <w:rPr>
          <w:rFonts w:ascii="仿宋_GB2312" w:hAnsi="仿宋" w:eastAsia="仿宋_GB2312" w:cs="Times New Roman"/>
          <w:kern w:val="2"/>
          <w:sz w:val="32"/>
          <w:szCs w:val="32"/>
        </w:rPr>
      </w:pPr>
      <w:r>
        <w:rPr>
          <w:rFonts w:ascii="仿宋_GB2312" w:hAnsi="仿宋" w:eastAsia="仿宋_GB2312" w:cs="Times New Roman"/>
          <w:kern w:val="2"/>
          <w:sz w:val="32"/>
          <w:szCs w:val="32"/>
        </w:rPr>
        <w:t>1.1</w:t>
      </w:r>
      <w:r>
        <w:rPr>
          <w:rFonts w:hint="eastAsia" w:ascii="仿宋_GB2312" w:hAnsi="仿宋" w:eastAsia="仿宋_GB2312" w:cs="Times New Roman"/>
          <w:kern w:val="2"/>
          <w:sz w:val="32"/>
          <w:szCs w:val="32"/>
        </w:rPr>
        <w:t>符合《中华人民共和国政府采购法》第二十二条资格条件。</w:t>
      </w:r>
    </w:p>
    <w:p>
      <w:pPr>
        <w:spacing w:line="53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1）具有独立承担民事责任的能力；</w:t>
      </w:r>
    </w:p>
    <w:p>
      <w:pPr>
        <w:spacing w:line="53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2）具有良好的商业信誉和健全的财务会计制度；</w:t>
      </w:r>
    </w:p>
    <w:p>
      <w:pPr>
        <w:spacing w:line="53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3）具有履行合同所必需的设备和专业技术能力；</w:t>
      </w:r>
    </w:p>
    <w:p>
      <w:pPr>
        <w:spacing w:line="53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4）有依法缴纳税收和社会保障资金的良好记录；</w:t>
      </w:r>
    </w:p>
    <w:p>
      <w:pPr>
        <w:spacing w:line="53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5）参加政府采购活动前3年内，在经营活动中没有重大违法记录；</w:t>
      </w:r>
    </w:p>
    <w:p>
      <w:pPr>
        <w:spacing w:line="53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6）法律、行政法规规定的其他条件。</w:t>
      </w:r>
    </w:p>
    <w:p>
      <w:pPr>
        <w:pStyle w:val="11"/>
        <w:spacing w:line="530" w:lineRule="exact"/>
        <w:ind w:firstLine="640"/>
        <w:rPr>
          <w:rFonts w:ascii="仿宋_GB2312" w:hAnsi="仿宋" w:eastAsia="仿宋_GB2312" w:cs="Times New Roman"/>
          <w:kern w:val="2"/>
          <w:sz w:val="32"/>
          <w:szCs w:val="32"/>
        </w:rPr>
      </w:pPr>
      <w:r>
        <w:rPr>
          <w:rFonts w:ascii="仿宋_GB2312" w:hAnsi="仿宋" w:eastAsia="仿宋_GB2312" w:cs="Times New Roman"/>
          <w:kern w:val="2"/>
          <w:sz w:val="32"/>
          <w:szCs w:val="32"/>
        </w:rPr>
        <w:t>1.2</w:t>
      </w:r>
      <w:r>
        <w:rPr>
          <w:rFonts w:hint="eastAsia" w:ascii="仿宋_GB2312" w:hAnsi="仿宋" w:eastAsia="仿宋_GB2312" w:cs="Times New Roman"/>
          <w:kern w:val="2"/>
          <w:sz w:val="32"/>
          <w:szCs w:val="32"/>
        </w:rPr>
        <w:t>国有企业；事业单位；军队单位；成立</w:t>
      </w:r>
      <w:r>
        <w:rPr>
          <w:rFonts w:ascii="仿宋_GB2312" w:hAnsi="仿宋" w:eastAsia="仿宋_GB2312" w:cs="Times New Roman"/>
          <w:kern w:val="2"/>
          <w:sz w:val="32"/>
          <w:szCs w:val="32"/>
        </w:rPr>
        <w:t>3</w:t>
      </w:r>
      <w:r>
        <w:rPr>
          <w:rFonts w:hint="eastAsia" w:ascii="仿宋_GB2312" w:hAnsi="仿宋" w:eastAsia="仿宋_GB2312" w:cs="Times New Roman"/>
          <w:kern w:val="2"/>
          <w:sz w:val="32"/>
          <w:szCs w:val="32"/>
        </w:rPr>
        <w:t>年以上的非外资独资企业或控股企业。</w:t>
      </w:r>
    </w:p>
    <w:p>
      <w:pPr>
        <w:pStyle w:val="11"/>
        <w:spacing w:line="530" w:lineRule="exact"/>
        <w:ind w:firstLine="640"/>
        <w:rPr>
          <w:rFonts w:ascii="仿宋_GB2312" w:hAnsi="仿宋" w:eastAsia="仿宋_GB2312" w:cs="Times New Roman"/>
          <w:kern w:val="2"/>
          <w:sz w:val="32"/>
          <w:szCs w:val="32"/>
        </w:rPr>
      </w:pPr>
      <w:r>
        <w:rPr>
          <w:rFonts w:ascii="仿宋_GB2312" w:hAnsi="仿宋" w:eastAsia="仿宋_GB2312" w:cs="Times New Roman"/>
          <w:kern w:val="2"/>
          <w:sz w:val="32"/>
          <w:szCs w:val="32"/>
        </w:rPr>
        <w:t>1.3</w:t>
      </w:r>
      <w:r>
        <w:rPr>
          <w:rFonts w:hint="eastAsia" w:ascii="仿宋_GB2312" w:hAnsi="仿宋" w:eastAsia="仿宋_GB2312" w:cs="Times New Roman"/>
          <w:kern w:val="2"/>
          <w:sz w:val="32"/>
          <w:szCs w:val="32"/>
        </w:rPr>
        <w:t>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pPr>
        <w:pStyle w:val="11"/>
        <w:spacing w:line="530" w:lineRule="exact"/>
        <w:ind w:firstLine="640"/>
        <w:rPr>
          <w:rFonts w:ascii="仿宋_GB2312" w:hAnsi="仿宋" w:eastAsia="仿宋_GB2312" w:cs="Times New Roman"/>
          <w:kern w:val="2"/>
          <w:sz w:val="32"/>
          <w:szCs w:val="32"/>
        </w:rPr>
      </w:pPr>
      <w:r>
        <w:rPr>
          <w:rFonts w:ascii="仿宋_GB2312" w:hAnsi="仿宋" w:eastAsia="仿宋_GB2312" w:cs="Times New Roman"/>
          <w:kern w:val="2"/>
          <w:sz w:val="32"/>
          <w:szCs w:val="32"/>
        </w:rPr>
        <w:t>1.4</w:t>
      </w:r>
      <w:r>
        <w:rPr>
          <w:rFonts w:hint="eastAsia" w:ascii="仿宋_GB2312" w:hAnsi="仿宋" w:eastAsia="仿宋_GB2312" w:cs="Times New Roman"/>
          <w:kern w:val="2"/>
          <w:sz w:val="32"/>
          <w:szCs w:val="32"/>
        </w:rPr>
        <w:t>未被中国政府采购网（</w:t>
      </w:r>
      <w:r>
        <w:rPr>
          <w:rFonts w:ascii="仿宋_GB2312" w:hAnsi="仿宋" w:eastAsia="仿宋_GB2312" w:cs="Times New Roman"/>
          <w:kern w:val="2"/>
          <w:sz w:val="32"/>
          <w:szCs w:val="32"/>
        </w:rPr>
        <w:t>www.ccgp.gov.cn</w:t>
      </w:r>
      <w:r>
        <w:rPr>
          <w:rFonts w:hint="eastAsia" w:ascii="仿宋_GB2312" w:hAnsi="仿宋" w:eastAsia="仿宋_GB2312" w:cs="Times New Roman"/>
          <w:kern w:val="2"/>
          <w:sz w:val="32"/>
          <w:szCs w:val="32"/>
        </w:rPr>
        <w:t>）列入政府采购严重违法失信行为记录名单，未在军队采购网（</w:t>
      </w:r>
      <w:r>
        <w:rPr>
          <w:rFonts w:ascii="仿宋_GB2312" w:hAnsi="仿宋" w:eastAsia="仿宋_GB2312" w:cs="Times New Roman"/>
          <w:kern w:val="2"/>
          <w:sz w:val="32"/>
          <w:szCs w:val="32"/>
        </w:rPr>
        <w:t>www.plap.mil.cn</w:t>
      </w:r>
      <w:r>
        <w:rPr>
          <w:rFonts w:hint="eastAsia" w:ascii="仿宋_GB2312" w:hAnsi="仿宋" w:eastAsia="仿宋_GB2312" w:cs="Times New Roman"/>
          <w:kern w:val="2"/>
          <w:sz w:val="32"/>
          <w:szCs w:val="32"/>
        </w:rPr>
        <w:t>）军队采购暂停名单处罚范围内或军队采购失信名单禁入处罚期和处罚范围内，以及未被“信用中国”（</w:t>
      </w:r>
      <w:r>
        <w:rPr>
          <w:rFonts w:ascii="仿宋_GB2312" w:hAnsi="仿宋" w:eastAsia="仿宋_GB2312" w:cs="Times New Roman"/>
          <w:kern w:val="2"/>
          <w:sz w:val="32"/>
          <w:szCs w:val="32"/>
        </w:rPr>
        <w:t>www.creditchina.gov.cn</w:t>
      </w:r>
      <w:r>
        <w:rPr>
          <w:rFonts w:hint="eastAsia" w:ascii="仿宋_GB2312" w:hAnsi="仿宋" w:eastAsia="仿宋_GB2312" w:cs="Times New Roman"/>
          <w:kern w:val="2"/>
          <w:sz w:val="32"/>
          <w:szCs w:val="32"/>
        </w:rPr>
        <w:t>）列入严重失信主体名单或国家企业信用信息公示系统（</w:t>
      </w:r>
      <w:r>
        <w:rPr>
          <w:rFonts w:ascii="仿宋_GB2312" w:hAnsi="仿宋" w:eastAsia="仿宋_GB2312" w:cs="Times New Roman"/>
          <w:kern w:val="2"/>
          <w:sz w:val="32"/>
          <w:szCs w:val="32"/>
        </w:rPr>
        <w:t>www.gsxt.gov.cn</w:t>
      </w:r>
      <w:r>
        <w:rPr>
          <w:rFonts w:hint="eastAsia" w:ascii="仿宋_GB2312" w:hAnsi="仿宋" w:eastAsia="仿宋_GB2312" w:cs="Times New Roman"/>
          <w:kern w:val="2"/>
          <w:sz w:val="32"/>
          <w:szCs w:val="32"/>
        </w:rPr>
        <w:t>）列入严重违法失信名单（处罚期内）。</w:t>
      </w:r>
    </w:p>
    <w:p>
      <w:pPr>
        <w:pStyle w:val="11"/>
        <w:spacing w:line="530" w:lineRule="exact"/>
        <w:ind w:firstLine="640"/>
        <w:rPr>
          <w:rFonts w:ascii="仿宋_GB2312" w:hAnsi="仿宋" w:eastAsia="仿宋_GB2312" w:cs="Times New Roman"/>
          <w:kern w:val="2"/>
          <w:sz w:val="32"/>
          <w:szCs w:val="32"/>
        </w:rPr>
      </w:pPr>
      <w:r>
        <w:rPr>
          <w:rFonts w:ascii="仿宋_GB2312" w:hAnsi="仿宋" w:eastAsia="仿宋_GB2312" w:cs="Times New Roman"/>
          <w:kern w:val="2"/>
          <w:sz w:val="32"/>
          <w:szCs w:val="32"/>
        </w:rPr>
        <w:t>1.5</w:t>
      </w:r>
      <w:r>
        <w:rPr>
          <w:rFonts w:hint="eastAsia" w:ascii="仿宋_GB2312" w:hAnsi="仿宋" w:eastAsia="仿宋_GB2312" w:cs="Times New Roman"/>
          <w:kern w:val="2"/>
          <w:sz w:val="32"/>
          <w:szCs w:val="32"/>
        </w:rPr>
        <w:t>本项目不接受联合体投标。</w:t>
      </w:r>
    </w:p>
    <w:p>
      <w:pPr>
        <w:pStyle w:val="11"/>
        <w:spacing w:line="530" w:lineRule="exact"/>
        <w:ind w:firstLine="640"/>
        <w:outlineLvl w:val="9"/>
        <w:rPr>
          <w:rFonts w:ascii="仿宋_GB2312" w:hAnsi="仿宋" w:eastAsia="仿宋_GB2312" w:cs="Times New Roman"/>
          <w:kern w:val="2"/>
          <w:sz w:val="32"/>
          <w:szCs w:val="32"/>
        </w:rPr>
      </w:pPr>
      <w:r>
        <w:rPr>
          <w:rFonts w:ascii="仿宋_GB2312" w:hAnsi="仿宋" w:eastAsia="仿宋_GB2312" w:cs="Times New Roman"/>
          <w:kern w:val="2"/>
          <w:sz w:val="32"/>
          <w:szCs w:val="32"/>
        </w:rPr>
        <w:t>1.6本项目特定资格:</w:t>
      </w:r>
    </w:p>
    <w:p>
      <w:pPr>
        <w:pStyle w:val="11"/>
        <w:spacing w:line="530" w:lineRule="exact"/>
        <w:ind w:firstLine="640"/>
        <w:outlineLvl w:val="9"/>
        <w:rPr>
          <w:rFonts w:ascii="仿宋_GB2312" w:hAnsi="仿宋" w:eastAsia="仿宋_GB2312" w:cs="Times New Roman"/>
          <w:kern w:val="2"/>
          <w:sz w:val="32"/>
          <w:szCs w:val="32"/>
        </w:rPr>
      </w:pPr>
      <w:r>
        <w:rPr>
          <w:rFonts w:ascii="仿宋_GB2312" w:hAnsi="仿宋" w:eastAsia="仿宋_GB2312" w:cs="Times New Roman"/>
          <w:kern w:val="2"/>
          <w:sz w:val="32"/>
          <w:szCs w:val="32"/>
        </w:rPr>
        <w:t>1.所投仪器设备预约共享管理系统软件，不能存在版权纠纷性问题，软件著作权须与本项目核心平台内容相关，包含“仪器设备共享”、“仪器共享”任一关键词。</w:t>
      </w:r>
    </w:p>
    <w:p>
      <w:pPr>
        <w:pStyle w:val="11"/>
        <w:spacing w:line="530" w:lineRule="exact"/>
        <w:ind w:firstLine="640"/>
        <w:outlineLvl w:val="9"/>
        <w:rPr>
          <w:rFonts w:ascii="仿宋_GB2312" w:hAnsi="仿宋" w:eastAsia="仿宋_GB2312" w:cs="Times New Roman"/>
          <w:kern w:val="2"/>
          <w:sz w:val="32"/>
          <w:szCs w:val="32"/>
        </w:rPr>
      </w:pPr>
      <w:r>
        <w:rPr>
          <w:rFonts w:ascii="仿宋_GB2312" w:hAnsi="仿宋" w:eastAsia="仿宋_GB2312" w:cs="Times New Roman"/>
          <w:kern w:val="2"/>
          <w:sz w:val="32"/>
          <w:szCs w:val="32"/>
        </w:rPr>
        <w:t>2. 所投仪器设备预约共享管理系统软件</w:t>
      </w:r>
      <w:r>
        <w:rPr>
          <w:rFonts w:hint="eastAsia" w:ascii="仿宋_GB2312" w:hAnsi="仿宋" w:eastAsia="仿宋_GB2312" w:cs="Times New Roman"/>
          <w:kern w:val="2"/>
          <w:sz w:val="32"/>
          <w:szCs w:val="32"/>
        </w:rPr>
        <w:t>，须提供本科高等院校或军队单位同类项目业绩任意</w:t>
      </w:r>
      <w:r>
        <w:rPr>
          <w:rFonts w:ascii="仿宋_GB2312" w:hAnsi="仿宋" w:eastAsia="仿宋_GB2312" w:cs="Times New Roman"/>
          <w:kern w:val="2"/>
          <w:sz w:val="32"/>
          <w:szCs w:val="32"/>
        </w:rPr>
        <w:t>2个</w:t>
      </w:r>
      <w:r>
        <w:rPr>
          <w:rFonts w:hint="eastAsia" w:ascii="仿宋_GB2312" w:hAnsi="仿宋" w:eastAsia="仿宋_GB2312" w:cs="Times New Roman"/>
          <w:kern w:val="2"/>
          <w:sz w:val="32"/>
          <w:szCs w:val="32"/>
        </w:rPr>
        <w:t>【提供合同复印件和项目验收证明材料</w:t>
      </w:r>
      <w:r>
        <w:rPr>
          <w:rFonts w:ascii="仿宋_GB2312" w:hAnsi="仿宋" w:eastAsia="仿宋_GB2312" w:cs="Times New Roman"/>
          <w:kern w:val="2"/>
          <w:sz w:val="32"/>
          <w:szCs w:val="32"/>
        </w:rPr>
        <w:t>(项目验收报告、验收意见、设备交付清单中任一证明文件)复印件。项目合同、验收证明材料须与本项目实施内容相关，包含“仪器设备共享”、“仪器共享”任一关键词】</w:t>
      </w:r>
    </w:p>
    <w:p>
      <w:pPr>
        <w:spacing w:line="530" w:lineRule="exact"/>
        <w:ind w:firstLine="643" w:firstLineChars="200"/>
        <w:outlineLvl w:val="2"/>
        <w:rPr>
          <w:rFonts w:ascii="仿宋_GB2312" w:hAnsi="宋体" w:eastAsia="仿宋_GB2312" w:cs="Times New Roman"/>
          <w:b/>
          <w:bCs/>
          <w:kern w:val="2"/>
          <w:sz w:val="32"/>
          <w:szCs w:val="32"/>
        </w:rPr>
      </w:pPr>
      <w:r>
        <w:rPr>
          <w:rFonts w:ascii="仿宋_GB2312" w:hAnsi="宋体" w:eastAsia="仿宋_GB2312" w:cs="Times New Roman"/>
          <w:b/>
          <w:bCs/>
          <w:kern w:val="2"/>
          <w:sz w:val="32"/>
          <w:szCs w:val="32"/>
        </w:rPr>
        <w:t>2.样品评审（比测）组织</w:t>
      </w:r>
    </w:p>
    <w:p>
      <w:pPr>
        <w:spacing w:line="53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本项目无需组织原型测评。</w:t>
      </w:r>
    </w:p>
    <w:p>
      <w:pPr>
        <w:spacing w:line="572" w:lineRule="exact"/>
        <w:ind w:firstLine="480" w:firstLineChars="200"/>
        <w:outlineLvl w:val="2"/>
      </w:pPr>
    </w:p>
    <w:sectPr>
      <w:headerReference r:id="rId9" w:type="default"/>
      <w:pgSz w:w="11906" w:h="16838"/>
      <w:pgMar w:top="2098" w:right="1474" w:bottom="1985" w:left="1588" w:header="851" w:footer="1434"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6ED5E5D-7177-40D5-AE1F-F6D897683D3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embedRegular r:id="rId2" w:fontKey="{1826954F-3B4E-4237-A332-9380BE46C0FD}"/>
  </w:font>
  <w:font w:name="方正小标宋简体">
    <w:panose1 w:val="03000509000000000000"/>
    <w:charset w:val="86"/>
    <w:family w:val="script"/>
    <w:pitch w:val="default"/>
    <w:sig w:usb0="00000001" w:usb1="080E0000" w:usb2="00000000" w:usb3="00000000" w:csb0="00040000" w:csb1="00000000"/>
    <w:embedRegular r:id="rId3" w:fontKey="{0D17FD42-A891-4A7D-BB9F-0ADCDDC95637}"/>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76D69D67-28F1-4269-A247-7AB567D8469B}"/>
  </w:font>
  <w:font w:name="仿宋">
    <w:panose1 w:val="02010609060101010101"/>
    <w:charset w:val="86"/>
    <w:family w:val="modern"/>
    <w:pitch w:val="default"/>
    <w:sig w:usb0="800002BF" w:usb1="38CF7CFA" w:usb2="00000016" w:usb3="00000000" w:csb0="00040001" w:csb1="00000000"/>
    <w:embedRegular r:id="rId5" w:fontKey="{83D9F6D6-11CA-4608-8C47-B86D9F78D778}"/>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embedRegular r:id="rId6" w:fontKey="{4EE70EE6-F514-435D-BB49-940AAE3F45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宋体" w:hAnsi="宋体" w:cs="宋体"/>
        <w:kern w:val="2"/>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snapToGrid w:val="0"/>
                  <w:jc w:val="right"/>
                </w:pPr>
                <w:r>
                  <w:rPr>
                    <w:rFonts w:hint="eastAsia" w:ascii="宋体" w:hAnsi="宋体" w:cs="宋体"/>
                    <w:kern w:val="2"/>
                    <w:sz w:val="28"/>
                    <w:szCs w:val="28"/>
                  </w:rPr>
                  <w:t>—</w:t>
                </w:r>
                <w:r>
                  <w:rPr>
                    <w:rFonts w:hint="eastAsia" w:ascii="宋体" w:hAnsi="宋体" w:cs="宋体"/>
                    <w:kern w:val="2"/>
                    <w:sz w:val="28"/>
                    <w:szCs w:val="28"/>
                  </w:rPr>
                  <w:fldChar w:fldCharType="begin"/>
                </w:r>
                <w:r>
                  <w:rPr>
                    <w:rFonts w:hint="eastAsia" w:ascii="宋体" w:hAnsi="宋体" w:cs="宋体"/>
                    <w:kern w:val="2"/>
                    <w:sz w:val="28"/>
                    <w:szCs w:val="28"/>
                  </w:rPr>
                  <w:instrText xml:space="preserve"> PAGE  \* MERGEFORMAT </w:instrText>
                </w:r>
                <w:r>
                  <w:rPr>
                    <w:rFonts w:hint="eastAsia" w:ascii="宋体" w:hAnsi="宋体" w:cs="宋体"/>
                    <w:kern w:val="2"/>
                    <w:sz w:val="28"/>
                    <w:szCs w:val="28"/>
                  </w:rPr>
                  <w:fldChar w:fldCharType="separate"/>
                </w:r>
                <w:r>
                  <w:rPr>
                    <w:rFonts w:ascii="宋体" w:hAnsi="宋体" w:cs="Times New Roman"/>
                    <w:kern w:val="2"/>
                    <w:sz w:val="28"/>
                    <w:szCs w:val="28"/>
                  </w:rPr>
                  <w:t>5</w:t>
                </w:r>
                <w:r>
                  <w:rPr>
                    <w:rFonts w:hint="eastAsia" w:ascii="宋体" w:hAnsi="宋体" w:cs="宋体"/>
                    <w:kern w:val="2"/>
                    <w:sz w:val="28"/>
                    <w:szCs w:val="28"/>
                  </w:rPr>
                  <w:fldChar w:fldCharType="end"/>
                </w:r>
                <w:r>
                  <w:rPr>
                    <w:rFonts w:hint="eastAsia" w:ascii="宋体" w:hAnsi="宋体" w:cs="宋体"/>
                    <w:kern w:val="2"/>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320" w:lineRule="exact"/>
      <w:jc w:val="left"/>
      <w:rPr>
        <w:rFonts w:ascii="Times New Roman" w:hAnsi="Times New Roman" w:eastAsia="仿宋_GB2312" w:cs="Times New Roman"/>
        <w:kern w:val="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79" w:lineRule="exact"/>
      <w:ind w:firstLine="360" w:firstLineChars="200"/>
      <w:jc w:val="center"/>
      <w:rPr>
        <w:rFonts w:ascii="仿宋_GB2312" w:hAnsi="仿宋_GB2312" w:eastAsia="仿宋_GB2312"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843CA"/>
    <w:multiLevelType w:val="multilevel"/>
    <w:tmpl w:val="A3E843CA"/>
    <w:lvl w:ilvl="0" w:tentative="0">
      <w:start w:val="1"/>
      <w:numFmt w:val="decimal"/>
      <w:lvlText w:val="%1、"/>
      <w:lvlJc w:val="left"/>
      <w:pPr>
        <w:ind w:left="420" w:hanging="420"/>
      </w:pPr>
      <w:rPr>
        <w:rFonts w:hint="eastAsia"/>
        <w:b w:val="0"/>
        <w:i w:val="0"/>
        <w:sz w:val="44"/>
        <w:szCs w:val="28"/>
      </w:rPr>
    </w:lvl>
    <w:lvl w:ilvl="1" w:tentative="0">
      <w:start w:val="1"/>
      <w:numFmt w:val="decimal"/>
      <w:suff w:val="space"/>
      <w:lvlText w:val="%1.%2"/>
      <w:lvlJc w:val="left"/>
      <w:pPr>
        <w:ind w:left="0" w:firstLine="0"/>
      </w:pPr>
      <w:rPr>
        <w:rFonts w:hint="default" w:ascii="Times New Roman" w:hAnsi="Times New Roman" w:eastAsia="黑体"/>
        <w:b w:val="0"/>
        <w:i w:val="0"/>
        <w:sz w:val="28"/>
        <w:szCs w:val="24"/>
      </w:rPr>
    </w:lvl>
    <w:lvl w:ilvl="2" w:tentative="0">
      <w:start w:val="1"/>
      <w:numFmt w:val="decimal"/>
      <w:suff w:val="space"/>
      <w:lvlText w:val="%1.%2.%3"/>
      <w:lvlJc w:val="left"/>
      <w:pPr>
        <w:ind w:left="0" w:firstLine="200"/>
      </w:pPr>
      <w:rPr>
        <w:rFonts w:hint="default" w:ascii="Times New Roman" w:hAnsi="Times New Roman" w:eastAsia="黑体"/>
        <w:sz w:val="24"/>
        <w:szCs w:val="24"/>
      </w:rPr>
    </w:lvl>
    <w:lvl w:ilvl="3" w:tentative="0">
      <w:start w:val="1"/>
      <w:numFmt w:val="decimal"/>
      <w:suff w:val="space"/>
      <w:lvlText w:val="%1.%2.%3.%4"/>
      <w:lvlJc w:val="left"/>
      <w:pPr>
        <w:ind w:left="0" w:firstLine="200"/>
      </w:pPr>
      <w:rPr>
        <w:rFonts w:hint="default" w:ascii="Times New Roman" w:hAnsi="Times New Roman" w:eastAsia="黑体"/>
        <w:sz w:val="24"/>
        <w:szCs w:val="24"/>
      </w:rPr>
    </w:lvl>
    <w:lvl w:ilvl="4" w:tentative="0">
      <w:start w:val="1"/>
      <w:numFmt w:val="decimal"/>
      <w:pStyle w:val="26"/>
      <w:lvlText w:val="%1.%2.%3.%4.%5"/>
      <w:lvlJc w:val="left"/>
      <w:pPr>
        <w:tabs>
          <w:tab w:val="left" w:pos="3141"/>
        </w:tabs>
        <w:ind w:left="2551" w:hanging="850"/>
      </w:pPr>
      <w:rPr>
        <w:rFonts w:hint="eastAsia"/>
      </w:rPr>
    </w:lvl>
    <w:lvl w:ilvl="5" w:tentative="0">
      <w:start w:val="1"/>
      <w:numFmt w:val="decimal"/>
      <w:pStyle w:val="28"/>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AC6AEA68"/>
    <w:multiLevelType w:val="multilevel"/>
    <w:tmpl w:val="AC6AEA68"/>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suff w:val="nothing"/>
      <w:lvlText w:val="%1.%2."/>
      <w:lvlJc w:val="left"/>
      <w:pPr>
        <w:ind w:left="0" w:firstLine="0"/>
      </w:pPr>
      <w:rPr>
        <w:rFonts w:hint="eastAsia"/>
        <w:b w:val="0"/>
        <w:bCs w:val="0"/>
      </w:rPr>
    </w:lvl>
    <w:lvl w:ilvl="2" w:tentative="0">
      <w:start w:val="1"/>
      <w:numFmt w:val="decimal"/>
      <w:pStyle w:val="4"/>
      <w:isLgl/>
      <w:suff w:val="nothing"/>
      <w:lvlText w:val="%1.%2.%3."/>
      <w:lvlJc w:val="left"/>
      <w:pPr>
        <w:ind w:left="0" w:firstLine="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96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48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E3E391E9"/>
    <w:multiLevelType w:val="multilevel"/>
    <w:tmpl w:val="E3E391E9"/>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25"/>
      <w:isLgl/>
      <w:lvlText w:val="%1.%2.%3."/>
      <w:lvlJc w:val="left"/>
      <w:pPr>
        <w:ind w:left="9508"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hNzU5ZTc4YTNhNDJmMDI2ODk4ZGM0ZTBkMjg5ZjcifQ=="/>
  </w:docVars>
  <w:rsids>
    <w:rsidRoot w:val="7D006C32"/>
    <w:rsid w:val="00013140"/>
    <w:rsid w:val="00015F2A"/>
    <w:rsid w:val="00025DC8"/>
    <w:rsid w:val="00044A81"/>
    <w:rsid w:val="00061022"/>
    <w:rsid w:val="000E4571"/>
    <w:rsid w:val="000E64A8"/>
    <w:rsid w:val="0013105C"/>
    <w:rsid w:val="00142C57"/>
    <w:rsid w:val="001500A2"/>
    <w:rsid w:val="00151614"/>
    <w:rsid w:val="00177C0E"/>
    <w:rsid w:val="0019003C"/>
    <w:rsid w:val="00193043"/>
    <w:rsid w:val="001C2999"/>
    <w:rsid w:val="001D3CC6"/>
    <w:rsid w:val="001F2AC2"/>
    <w:rsid w:val="001F65A0"/>
    <w:rsid w:val="001F702F"/>
    <w:rsid w:val="00207DED"/>
    <w:rsid w:val="002265F1"/>
    <w:rsid w:val="00243651"/>
    <w:rsid w:val="00261E9B"/>
    <w:rsid w:val="00264174"/>
    <w:rsid w:val="002752A8"/>
    <w:rsid w:val="002B0F54"/>
    <w:rsid w:val="002B106E"/>
    <w:rsid w:val="002B1290"/>
    <w:rsid w:val="002B2E8C"/>
    <w:rsid w:val="002C781F"/>
    <w:rsid w:val="002D2066"/>
    <w:rsid w:val="002E1B70"/>
    <w:rsid w:val="002F46B4"/>
    <w:rsid w:val="00335AAD"/>
    <w:rsid w:val="003436E1"/>
    <w:rsid w:val="00366F15"/>
    <w:rsid w:val="00383385"/>
    <w:rsid w:val="003C078B"/>
    <w:rsid w:val="00413687"/>
    <w:rsid w:val="00431A55"/>
    <w:rsid w:val="00443FDF"/>
    <w:rsid w:val="00460B9D"/>
    <w:rsid w:val="00487E2A"/>
    <w:rsid w:val="004C6269"/>
    <w:rsid w:val="004F6166"/>
    <w:rsid w:val="0054155E"/>
    <w:rsid w:val="005C0586"/>
    <w:rsid w:val="005E5E52"/>
    <w:rsid w:val="006124D6"/>
    <w:rsid w:val="00625416"/>
    <w:rsid w:val="006472CC"/>
    <w:rsid w:val="00652334"/>
    <w:rsid w:val="006C16E9"/>
    <w:rsid w:val="006D528C"/>
    <w:rsid w:val="006F3678"/>
    <w:rsid w:val="0070599D"/>
    <w:rsid w:val="007567F6"/>
    <w:rsid w:val="00760550"/>
    <w:rsid w:val="00761AF4"/>
    <w:rsid w:val="007723B1"/>
    <w:rsid w:val="00785668"/>
    <w:rsid w:val="007B236A"/>
    <w:rsid w:val="007C6310"/>
    <w:rsid w:val="007E67FC"/>
    <w:rsid w:val="00810055"/>
    <w:rsid w:val="00820243"/>
    <w:rsid w:val="00826A43"/>
    <w:rsid w:val="00832B41"/>
    <w:rsid w:val="00843214"/>
    <w:rsid w:val="00860A90"/>
    <w:rsid w:val="00893EB4"/>
    <w:rsid w:val="00896118"/>
    <w:rsid w:val="008A0FF7"/>
    <w:rsid w:val="008A4F64"/>
    <w:rsid w:val="008C2FB3"/>
    <w:rsid w:val="008C5C91"/>
    <w:rsid w:val="008D0A55"/>
    <w:rsid w:val="008D3EF7"/>
    <w:rsid w:val="009379CA"/>
    <w:rsid w:val="00950DE3"/>
    <w:rsid w:val="00951AD1"/>
    <w:rsid w:val="00954A85"/>
    <w:rsid w:val="0098216A"/>
    <w:rsid w:val="00984098"/>
    <w:rsid w:val="00992918"/>
    <w:rsid w:val="009D5DA4"/>
    <w:rsid w:val="00A01432"/>
    <w:rsid w:val="00A029E6"/>
    <w:rsid w:val="00A05163"/>
    <w:rsid w:val="00A21D77"/>
    <w:rsid w:val="00A52499"/>
    <w:rsid w:val="00A668F7"/>
    <w:rsid w:val="00A67A0A"/>
    <w:rsid w:val="00A766FA"/>
    <w:rsid w:val="00A8079B"/>
    <w:rsid w:val="00AA10FB"/>
    <w:rsid w:val="00AA1418"/>
    <w:rsid w:val="00AC290C"/>
    <w:rsid w:val="00AC5A53"/>
    <w:rsid w:val="00AC7B79"/>
    <w:rsid w:val="00AE4C22"/>
    <w:rsid w:val="00AF31FB"/>
    <w:rsid w:val="00B02DCF"/>
    <w:rsid w:val="00B02F60"/>
    <w:rsid w:val="00B166C0"/>
    <w:rsid w:val="00B278F7"/>
    <w:rsid w:val="00BA1486"/>
    <w:rsid w:val="00BC1D3D"/>
    <w:rsid w:val="00BD3238"/>
    <w:rsid w:val="00BD527B"/>
    <w:rsid w:val="00C21114"/>
    <w:rsid w:val="00C313E2"/>
    <w:rsid w:val="00C45A41"/>
    <w:rsid w:val="00CA7703"/>
    <w:rsid w:val="00D10DBA"/>
    <w:rsid w:val="00D31A1B"/>
    <w:rsid w:val="00D37634"/>
    <w:rsid w:val="00D41416"/>
    <w:rsid w:val="00D43B27"/>
    <w:rsid w:val="00D517F4"/>
    <w:rsid w:val="00D65663"/>
    <w:rsid w:val="00D745A2"/>
    <w:rsid w:val="00D92E34"/>
    <w:rsid w:val="00D95385"/>
    <w:rsid w:val="00DA521D"/>
    <w:rsid w:val="00DE0B46"/>
    <w:rsid w:val="00DF6E18"/>
    <w:rsid w:val="00E24B63"/>
    <w:rsid w:val="00E455D2"/>
    <w:rsid w:val="00E67531"/>
    <w:rsid w:val="00E86311"/>
    <w:rsid w:val="00EB3726"/>
    <w:rsid w:val="00F34C38"/>
    <w:rsid w:val="00F40B30"/>
    <w:rsid w:val="00F51564"/>
    <w:rsid w:val="00F54C81"/>
    <w:rsid w:val="00F55223"/>
    <w:rsid w:val="00F64535"/>
    <w:rsid w:val="00F676A0"/>
    <w:rsid w:val="00F91FFF"/>
    <w:rsid w:val="00F92AEF"/>
    <w:rsid w:val="00F97AE0"/>
    <w:rsid w:val="00FA1D84"/>
    <w:rsid w:val="00FA39F3"/>
    <w:rsid w:val="00FD025B"/>
    <w:rsid w:val="00FD222D"/>
    <w:rsid w:val="00FD59AA"/>
    <w:rsid w:val="00FF6BF0"/>
    <w:rsid w:val="01ED2E3A"/>
    <w:rsid w:val="026746FD"/>
    <w:rsid w:val="03AD764F"/>
    <w:rsid w:val="05334992"/>
    <w:rsid w:val="067B35D3"/>
    <w:rsid w:val="07AC659B"/>
    <w:rsid w:val="0BDA57BE"/>
    <w:rsid w:val="0CEE6151"/>
    <w:rsid w:val="0E4F7CFB"/>
    <w:rsid w:val="0F3225C9"/>
    <w:rsid w:val="0FF779D3"/>
    <w:rsid w:val="0FFB0EED"/>
    <w:rsid w:val="104F21BA"/>
    <w:rsid w:val="11582E82"/>
    <w:rsid w:val="11AB5C53"/>
    <w:rsid w:val="129C545E"/>
    <w:rsid w:val="13615202"/>
    <w:rsid w:val="140458F4"/>
    <w:rsid w:val="147B7EA9"/>
    <w:rsid w:val="1584179B"/>
    <w:rsid w:val="16CE4BE1"/>
    <w:rsid w:val="19632D1C"/>
    <w:rsid w:val="19E40DEB"/>
    <w:rsid w:val="1B9568C8"/>
    <w:rsid w:val="1E18581A"/>
    <w:rsid w:val="1EE47F71"/>
    <w:rsid w:val="1F861D6E"/>
    <w:rsid w:val="20C067BC"/>
    <w:rsid w:val="20CD34A4"/>
    <w:rsid w:val="20D858B3"/>
    <w:rsid w:val="215642FC"/>
    <w:rsid w:val="22960554"/>
    <w:rsid w:val="24062738"/>
    <w:rsid w:val="24B64390"/>
    <w:rsid w:val="2572069B"/>
    <w:rsid w:val="29FB66A2"/>
    <w:rsid w:val="2BC929C8"/>
    <w:rsid w:val="2C5C1A8E"/>
    <w:rsid w:val="2C716D38"/>
    <w:rsid w:val="2EE846E0"/>
    <w:rsid w:val="2EFA558F"/>
    <w:rsid w:val="3101216E"/>
    <w:rsid w:val="31A725A3"/>
    <w:rsid w:val="344C4197"/>
    <w:rsid w:val="355359F9"/>
    <w:rsid w:val="3777636F"/>
    <w:rsid w:val="383965F3"/>
    <w:rsid w:val="387A6CA5"/>
    <w:rsid w:val="388217B9"/>
    <w:rsid w:val="3896500B"/>
    <w:rsid w:val="38D230CE"/>
    <w:rsid w:val="397D0DF4"/>
    <w:rsid w:val="39AC56D7"/>
    <w:rsid w:val="39E1076E"/>
    <w:rsid w:val="3B783AC3"/>
    <w:rsid w:val="3B8C45FF"/>
    <w:rsid w:val="3BCC45B7"/>
    <w:rsid w:val="3C836BC3"/>
    <w:rsid w:val="3D3D6D72"/>
    <w:rsid w:val="3D491BBB"/>
    <w:rsid w:val="3D6039C7"/>
    <w:rsid w:val="3DF61310"/>
    <w:rsid w:val="3E0C5AE2"/>
    <w:rsid w:val="3F5274EE"/>
    <w:rsid w:val="3F5A0D4C"/>
    <w:rsid w:val="41713AE5"/>
    <w:rsid w:val="42B71375"/>
    <w:rsid w:val="42BC5343"/>
    <w:rsid w:val="44020D16"/>
    <w:rsid w:val="4448673A"/>
    <w:rsid w:val="459D696F"/>
    <w:rsid w:val="46020B59"/>
    <w:rsid w:val="479D484E"/>
    <w:rsid w:val="47BC1F06"/>
    <w:rsid w:val="47CB7671"/>
    <w:rsid w:val="49CB3958"/>
    <w:rsid w:val="4A183F21"/>
    <w:rsid w:val="4A246ACB"/>
    <w:rsid w:val="4A783DCC"/>
    <w:rsid w:val="4BE3142D"/>
    <w:rsid w:val="4F703A02"/>
    <w:rsid w:val="4FBD3D43"/>
    <w:rsid w:val="52232583"/>
    <w:rsid w:val="52E7260E"/>
    <w:rsid w:val="533E46AE"/>
    <w:rsid w:val="54AD4386"/>
    <w:rsid w:val="56DE59AE"/>
    <w:rsid w:val="574310EF"/>
    <w:rsid w:val="57F5CDC9"/>
    <w:rsid w:val="584A2DB0"/>
    <w:rsid w:val="5B604807"/>
    <w:rsid w:val="5DEC42F2"/>
    <w:rsid w:val="5EF01A3F"/>
    <w:rsid w:val="5FBFCD95"/>
    <w:rsid w:val="60301AFF"/>
    <w:rsid w:val="60791F08"/>
    <w:rsid w:val="61DC274E"/>
    <w:rsid w:val="628E7857"/>
    <w:rsid w:val="640E2967"/>
    <w:rsid w:val="6501009D"/>
    <w:rsid w:val="66B626E3"/>
    <w:rsid w:val="66E42D3E"/>
    <w:rsid w:val="67A23703"/>
    <w:rsid w:val="67B81D94"/>
    <w:rsid w:val="67EC58B8"/>
    <w:rsid w:val="68634742"/>
    <w:rsid w:val="6B384076"/>
    <w:rsid w:val="6B4530C5"/>
    <w:rsid w:val="6CE06FB3"/>
    <w:rsid w:val="6D4A0A44"/>
    <w:rsid w:val="6E8526C6"/>
    <w:rsid w:val="70A862D6"/>
    <w:rsid w:val="712E63F7"/>
    <w:rsid w:val="71986024"/>
    <w:rsid w:val="72435B6A"/>
    <w:rsid w:val="749869A9"/>
    <w:rsid w:val="74D84FF7"/>
    <w:rsid w:val="767C2DD3"/>
    <w:rsid w:val="768F5B89"/>
    <w:rsid w:val="7A236D15"/>
    <w:rsid w:val="7B6A6DC8"/>
    <w:rsid w:val="7D006C32"/>
    <w:rsid w:val="7D4F1BCF"/>
    <w:rsid w:val="7D8F6E7E"/>
    <w:rsid w:val="7F097E15"/>
    <w:rsid w:val="7FD6511E"/>
    <w:rsid w:val="ABF56F2F"/>
    <w:rsid w:val="BB3D2B96"/>
    <w:rsid w:val="BDD9A703"/>
    <w:rsid w:val="C6F30FBF"/>
    <w:rsid w:val="EBDFE56D"/>
    <w:rsid w:val="EFBFC265"/>
    <w:rsid w:val="FADFB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ahoma" w:hAnsi="Tahoma" w:eastAsia="宋体" w:cstheme="minorBidi"/>
      <w:sz w:val="24"/>
      <w:szCs w:val="21"/>
      <w:lang w:val="en-US" w:eastAsia="zh-CN" w:bidi="ar-SA"/>
    </w:rPr>
  </w:style>
  <w:style w:type="paragraph" w:styleId="2">
    <w:name w:val="heading 1"/>
    <w:basedOn w:val="1"/>
    <w:next w:val="1"/>
    <w:autoRedefine/>
    <w:qFormat/>
    <w:uiPriority w:val="0"/>
    <w:pPr>
      <w:keepNext/>
      <w:keepLines/>
      <w:numPr>
        <w:ilvl w:val="0"/>
        <w:numId w:val="1"/>
      </w:numPr>
      <w:spacing w:line="360" w:lineRule="auto"/>
      <w:outlineLvl w:val="0"/>
    </w:pPr>
    <w:rPr>
      <w:rFonts w:ascii="Times New Roman" w:hAnsi="Times New Roman" w:eastAsia="黑体"/>
      <w:b/>
      <w:kern w:val="44"/>
      <w:sz w:val="44"/>
    </w:rPr>
  </w:style>
  <w:style w:type="paragraph" w:styleId="3">
    <w:name w:val="heading 2"/>
    <w:basedOn w:val="1"/>
    <w:next w:val="1"/>
    <w:autoRedefine/>
    <w:semiHidden/>
    <w:unhideWhenUsed/>
    <w:qFormat/>
    <w:uiPriority w:val="0"/>
    <w:pPr>
      <w:keepNext/>
      <w:keepLines/>
      <w:numPr>
        <w:ilvl w:val="1"/>
        <w:numId w:val="1"/>
      </w:numPr>
      <w:spacing w:line="360" w:lineRule="auto"/>
      <w:outlineLvl w:val="1"/>
    </w:pPr>
    <w:rPr>
      <w:rFonts w:ascii="Times New Roman" w:hAnsi="Times New Roman" w:eastAsia="黑体"/>
      <w:b/>
      <w:sz w:val="28"/>
    </w:rPr>
  </w:style>
  <w:style w:type="paragraph" w:styleId="4">
    <w:name w:val="heading 3"/>
    <w:basedOn w:val="1"/>
    <w:next w:val="1"/>
    <w:autoRedefine/>
    <w:semiHidden/>
    <w:unhideWhenUsed/>
    <w:qFormat/>
    <w:uiPriority w:val="0"/>
    <w:pPr>
      <w:keepNext/>
      <w:keepLines/>
      <w:numPr>
        <w:ilvl w:val="2"/>
        <w:numId w:val="1"/>
      </w:numPr>
      <w:spacing w:line="360" w:lineRule="auto"/>
      <w:jc w:val="left"/>
      <w:outlineLvl w:val="2"/>
    </w:pPr>
    <w:rPr>
      <w:rFonts w:ascii="Times New Roman" w:hAnsi="Times New Roman"/>
      <w:sz w:val="28"/>
    </w:rPr>
  </w:style>
  <w:style w:type="paragraph" w:styleId="5">
    <w:name w:val="heading 4"/>
    <w:basedOn w:val="1"/>
    <w:next w:val="1"/>
    <w:autoRedefine/>
    <w:semiHidden/>
    <w:unhideWhenUsed/>
    <w:qFormat/>
    <w:uiPriority w:val="0"/>
    <w:pPr>
      <w:keepNext/>
      <w:keepLines/>
      <w:numPr>
        <w:ilvl w:val="3"/>
        <w:numId w:val="1"/>
      </w:numPr>
      <w:spacing w:line="360" w:lineRule="auto"/>
      <w:ind w:left="0" w:firstLine="720" w:firstLineChars="200"/>
      <w:outlineLvl w:val="3"/>
    </w:pPr>
    <w:rPr>
      <w:rFonts w:ascii="Times New Roman" w:hAnsi="Times New Roman"/>
    </w:rPr>
  </w:style>
  <w:style w:type="paragraph" w:styleId="6">
    <w:name w:val="heading 5"/>
    <w:basedOn w:val="1"/>
    <w:next w:val="1"/>
    <w:link w:val="24"/>
    <w:autoRedefine/>
    <w:semiHidden/>
    <w:unhideWhenUsed/>
    <w:qFormat/>
    <w:uiPriority w:val="0"/>
    <w:pPr>
      <w:keepNext/>
      <w:keepLines/>
      <w:numPr>
        <w:ilvl w:val="4"/>
        <w:numId w:val="1"/>
      </w:numPr>
      <w:outlineLvl w:val="4"/>
    </w:pPr>
    <w:rPr>
      <w:rFonts w:ascii="Times New Roman" w:hAnsi="Times New Roman" w:cs="Times New Roman" w:eastAsiaTheme="minorEastAsia"/>
      <w:szCs w:val="24"/>
    </w:rPr>
  </w:style>
  <w:style w:type="paragraph" w:styleId="7">
    <w:name w:val="heading 6"/>
    <w:basedOn w:val="1"/>
    <w:next w:val="1"/>
    <w:autoRedefine/>
    <w:semiHidden/>
    <w:unhideWhenUsed/>
    <w:qFormat/>
    <w:uiPriority w:val="0"/>
    <w:pPr>
      <w:keepNext/>
      <w:keepLines/>
      <w:numPr>
        <w:ilvl w:val="5"/>
        <w:numId w:val="1"/>
      </w:numPr>
      <w:spacing w:line="360" w:lineRule="auto"/>
      <w:outlineLvl w:val="5"/>
    </w:pPr>
    <w:rPr>
      <w:rFonts w:ascii="Times New Roman" w:hAnsi="Times New Roman"/>
      <w:sz w:val="28"/>
      <w:szCs w:val="28"/>
    </w:rPr>
  </w:style>
  <w:style w:type="paragraph" w:styleId="8">
    <w:name w:val="heading 7"/>
    <w:basedOn w:val="7"/>
    <w:next w:val="1"/>
    <w:autoRedefine/>
    <w:semiHidden/>
    <w:unhideWhenUsed/>
    <w:qFormat/>
    <w:uiPriority w:val="0"/>
    <w:pPr>
      <w:numPr>
        <w:ilvl w:val="6"/>
      </w:numPr>
      <w:ind w:left="0"/>
      <w:outlineLvl w:val="6"/>
    </w:pPr>
  </w:style>
  <w:style w:type="paragraph" w:styleId="9">
    <w:name w:val="heading 8"/>
    <w:basedOn w:val="1"/>
    <w:next w:val="1"/>
    <w:autoRedefine/>
    <w:semiHidden/>
    <w:unhideWhenUsed/>
    <w:qFormat/>
    <w:uiPriority w:val="0"/>
    <w:pPr>
      <w:keepNext/>
      <w:keepLines/>
      <w:numPr>
        <w:ilvl w:val="7"/>
        <w:numId w:val="1"/>
      </w:numPr>
      <w:spacing w:line="360" w:lineRule="auto"/>
      <w:outlineLvl w:val="7"/>
    </w:pPr>
    <w:rPr>
      <w:rFonts w:ascii="Times New Roman" w:hAnsi="Times New Roman"/>
      <w:sz w:val="28"/>
    </w:rPr>
  </w:style>
  <w:style w:type="paragraph" w:styleId="10">
    <w:name w:val="heading 9"/>
    <w:basedOn w:val="1"/>
    <w:next w:val="1"/>
    <w:autoRedefine/>
    <w:semiHidden/>
    <w:unhideWhenUsed/>
    <w:qFormat/>
    <w:uiPriority w:val="0"/>
    <w:pPr>
      <w:keepNext/>
      <w:keepLines/>
      <w:numPr>
        <w:ilvl w:val="8"/>
        <w:numId w:val="1"/>
      </w:numPr>
      <w:spacing w:line="360" w:lineRule="auto"/>
      <w:outlineLvl w:val="8"/>
    </w:pPr>
    <w:rPr>
      <w:rFonts w:ascii="Times New Roman" w:hAnsi="Times New Roman"/>
      <w:sz w:val="28"/>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unhideWhenUsed/>
    <w:qFormat/>
    <w:uiPriority w:val="99"/>
    <w:pPr>
      <w:ind w:firstLine="420" w:firstLineChars="200"/>
    </w:pPr>
  </w:style>
  <w:style w:type="paragraph" w:styleId="12">
    <w:name w:val="Document Map"/>
    <w:basedOn w:val="1"/>
    <w:link w:val="30"/>
    <w:autoRedefine/>
    <w:qFormat/>
    <w:uiPriority w:val="0"/>
    <w:rPr>
      <w:rFonts w:ascii="宋体"/>
      <w:sz w:val="18"/>
      <w:szCs w:val="18"/>
    </w:rPr>
  </w:style>
  <w:style w:type="paragraph" w:styleId="13">
    <w:name w:val="annotation text"/>
    <w:basedOn w:val="1"/>
    <w:autoRedefine/>
    <w:qFormat/>
    <w:uiPriority w:val="0"/>
    <w:pPr>
      <w:jc w:val="left"/>
    </w:pPr>
  </w:style>
  <w:style w:type="paragraph" w:styleId="14">
    <w:name w:val="Balloon Text"/>
    <w:basedOn w:val="1"/>
    <w:link w:val="29"/>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link w:val="87"/>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First Indent"/>
    <w:next w:val="1"/>
    <w:autoRedefine/>
    <w:qFormat/>
    <w:uiPriority w:val="99"/>
    <w:pPr>
      <w:widowControl w:val="0"/>
      <w:spacing w:after="120" w:line="275" w:lineRule="atLeast"/>
      <w:ind w:firstLine="420"/>
      <w:jc w:val="both"/>
      <w:textAlignment w:val="baseline"/>
    </w:pPr>
    <w:rPr>
      <w:rFonts w:ascii="Times New Roman" w:hAnsi="Times New Roman" w:eastAsia="宋体" w:cs="Times New Roman"/>
      <w:sz w:val="24"/>
      <w:szCs w:val="24"/>
      <w:lang w:val="en-US" w:eastAsia="zh-CN" w:bidi="ar-SA"/>
    </w:rPr>
  </w:style>
  <w:style w:type="table" w:styleId="19">
    <w:name w:val="Table Grid"/>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1">
    <w:name w:val="FollowedHyperlink"/>
    <w:basedOn w:val="20"/>
    <w:autoRedefine/>
    <w:unhideWhenUsed/>
    <w:qFormat/>
    <w:uiPriority w:val="99"/>
    <w:rPr>
      <w:color w:val="800080"/>
      <w:u w:val="single"/>
    </w:rPr>
  </w:style>
  <w:style w:type="character" w:styleId="22">
    <w:name w:val="Hyperlink"/>
    <w:basedOn w:val="20"/>
    <w:autoRedefine/>
    <w:unhideWhenUsed/>
    <w:qFormat/>
    <w:uiPriority w:val="99"/>
    <w:rPr>
      <w:color w:val="0000FF"/>
      <w:u w:val="single"/>
    </w:rPr>
  </w:style>
  <w:style w:type="character" w:styleId="23">
    <w:name w:val="annotation reference"/>
    <w:basedOn w:val="20"/>
    <w:autoRedefine/>
    <w:qFormat/>
    <w:uiPriority w:val="0"/>
    <w:rPr>
      <w:sz w:val="21"/>
      <w:szCs w:val="21"/>
    </w:rPr>
  </w:style>
  <w:style w:type="character" w:customStyle="1" w:styleId="24">
    <w:name w:val="标题 5 Char"/>
    <w:link w:val="6"/>
    <w:autoRedefine/>
    <w:qFormat/>
    <w:uiPriority w:val="9"/>
    <w:rPr>
      <w:rFonts w:ascii="Times New Roman" w:hAnsi="Times New Roman" w:cs="Times New Roman" w:eastAsiaTheme="minorEastAsia"/>
      <w:sz w:val="24"/>
      <w:szCs w:val="24"/>
    </w:rPr>
  </w:style>
  <w:style w:type="paragraph" w:customStyle="1" w:styleId="25">
    <w:name w:val="标题3"/>
    <w:basedOn w:val="4"/>
    <w:next w:val="1"/>
    <w:autoRedefine/>
    <w:qFormat/>
    <w:uiPriority w:val="0"/>
    <w:pPr>
      <w:numPr>
        <w:numId w:val="2"/>
      </w:numPr>
    </w:pPr>
  </w:style>
  <w:style w:type="paragraph" w:customStyle="1" w:styleId="26">
    <w:name w:val="T 标题 5"/>
    <w:basedOn w:val="6"/>
    <w:link w:val="27"/>
    <w:autoRedefine/>
    <w:qFormat/>
    <w:uiPriority w:val="1"/>
    <w:pPr>
      <w:numPr>
        <w:numId w:val="3"/>
      </w:numPr>
      <w:tabs>
        <w:tab w:val="left" w:pos="3141"/>
      </w:tabs>
      <w:spacing w:line="360" w:lineRule="auto"/>
      <w:ind w:left="0" w:firstLine="1200" w:firstLineChars="200"/>
    </w:pPr>
  </w:style>
  <w:style w:type="character" w:customStyle="1" w:styleId="27">
    <w:name w:val="T 标题 5 字符"/>
    <w:link w:val="26"/>
    <w:autoRedefine/>
    <w:qFormat/>
    <w:uiPriority w:val="1"/>
    <w:rPr>
      <w:rFonts w:eastAsia="宋体"/>
      <w:sz w:val="24"/>
      <w:szCs w:val="24"/>
    </w:rPr>
  </w:style>
  <w:style w:type="paragraph" w:customStyle="1" w:styleId="28">
    <w:name w:val="T 标题 6"/>
    <w:basedOn w:val="1"/>
    <w:autoRedefine/>
    <w:qFormat/>
    <w:uiPriority w:val="0"/>
    <w:pPr>
      <w:numPr>
        <w:ilvl w:val="5"/>
        <w:numId w:val="3"/>
      </w:numPr>
    </w:pPr>
  </w:style>
  <w:style w:type="character" w:customStyle="1" w:styleId="29">
    <w:name w:val="批注框文本 Char"/>
    <w:basedOn w:val="20"/>
    <w:link w:val="14"/>
    <w:autoRedefine/>
    <w:qFormat/>
    <w:uiPriority w:val="0"/>
    <w:rPr>
      <w:rFonts w:ascii="Tahoma" w:hAnsi="Tahoma" w:eastAsia="宋体"/>
      <w:sz w:val="18"/>
      <w:szCs w:val="18"/>
    </w:rPr>
  </w:style>
  <w:style w:type="character" w:customStyle="1" w:styleId="30">
    <w:name w:val="文档结构图 Char"/>
    <w:basedOn w:val="20"/>
    <w:link w:val="12"/>
    <w:autoRedefine/>
    <w:qFormat/>
    <w:uiPriority w:val="0"/>
    <w:rPr>
      <w:rFonts w:ascii="宋体" w:hAnsi="Tahoma" w:eastAsia="宋体"/>
      <w:sz w:val="18"/>
      <w:szCs w:val="18"/>
    </w:rPr>
  </w:style>
  <w:style w:type="paragraph" w:customStyle="1" w:styleId="31">
    <w:name w:val="font0"/>
    <w:basedOn w:val="1"/>
    <w:autoRedefine/>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sz w:val="18"/>
      <w:szCs w:val="18"/>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34">
    <w:name w:val="font7"/>
    <w:basedOn w:val="1"/>
    <w:autoRedefine/>
    <w:qFormat/>
    <w:uiPriority w:val="0"/>
    <w:pPr>
      <w:widowControl/>
      <w:spacing w:before="100" w:beforeAutospacing="1" w:after="100" w:afterAutospacing="1"/>
      <w:jc w:val="left"/>
    </w:pPr>
    <w:rPr>
      <w:rFonts w:ascii="Wingdings" w:hAnsi="Wingdings" w:cs="宋体"/>
      <w:color w:val="000000"/>
      <w:sz w:val="22"/>
      <w:szCs w:val="22"/>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sz w:val="22"/>
      <w:szCs w:val="22"/>
    </w:rPr>
  </w:style>
  <w:style w:type="paragraph" w:customStyle="1" w:styleId="36">
    <w:name w:val="font9"/>
    <w:basedOn w:val="1"/>
    <w:autoRedefine/>
    <w:qFormat/>
    <w:uiPriority w:val="0"/>
    <w:pPr>
      <w:widowControl/>
      <w:spacing w:before="100" w:beforeAutospacing="1" w:after="100" w:afterAutospacing="1"/>
      <w:jc w:val="left"/>
    </w:pPr>
    <w:rPr>
      <w:rFonts w:ascii="宋体" w:hAnsi="宋体" w:cs="宋体"/>
      <w:sz w:val="22"/>
      <w:szCs w:val="22"/>
    </w:rPr>
  </w:style>
  <w:style w:type="paragraph" w:customStyle="1" w:styleId="37">
    <w:name w:val="font10"/>
    <w:basedOn w:val="1"/>
    <w:autoRedefine/>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38">
    <w:name w:val="font11"/>
    <w:basedOn w:val="1"/>
    <w:autoRedefine/>
    <w:qFormat/>
    <w:uiPriority w:val="0"/>
    <w:pPr>
      <w:widowControl/>
      <w:spacing w:before="100" w:beforeAutospacing="1" w:after="100" w:afterAutospacing="1"/>
      <w:jc w:val="left"/>
    </w:pPr>
    <w:rPr>
      <w:rFonts w:ascii="Segoe UI Symbol" w:hAnsi="Segoe UI Symbol" w:cs="宋体"/>
      <w:color w:val="000000"/>
      <w:sz w:val="22"/>
      <w:szCs w:val="22"/>
    </w:rPr>
  </w:style>
  <w:style w:type="paragraph" w:customStyle="1" w:styleId="39">
    <w:name w:val="font12"/>
    <w:basedOn w:val="1"/>
    <w:autoRedefine/>
    <w:qFormat/>
    <w:uiPriority w:val="0"/>
    <w:pPr>
      <w:widowControl/>
      <w:spacing w:before="100" w:beforeAutospacing="1" w:after="100" w:afterAutospacing="1"/>
      <w:jc w:val="left"/>
    </w:pPr>
    <w:rPr>
      <w:rFonts w:ascii="宋体" w:hAnsi="宋体" w:cs="宋体"/>
      <w:sz w:val="22"/>
      <w:szCs w:val="22"/>
    </w:rPr>
  </w:style>
  <w:style w:type="paragraph" w:customStyle="1" w:styleId="40">
    <w:name w:val="font13"/>
    <w:basedOn w:val="1"/>
    <w:autoRedefine/>
    <w:qFormat/>
    <w:uiPriority w:val="0"/>
    <w:pPr>
      <w:widowControl/>
      <w:spacing w:before="100" w:beforeAutospacing="1" w:after="100" w:afterAutospacing="1"/>
      <w:jc w:val="left"/>
    </w:pPr>
    <w:rPr>
      <w:rFonts w:ascii="宋体" w:hAnsi="宋体" w:cs="宋体"/>
      <w:sz w:val="22"/>
      <w:szCs w:val="22"/>
    </w:rPr>
  </w:style>
  <w:style w:type="paragraph" w:customStyle="1" w:styleId="41">
    <w:name w:val="font14"/>
    <w:basedOn w:val="1"/>
    <w:autoRedefine/>
    <w:qFormat/>
    <w:uiPriority w:val="0"/>
    <w:pPr>
      <w:widowControl/>
      <w:spacing w:before="100" w:beforeAutospacing="1" w:after="100" w:afterAutospacing="1"/>
      <w:jc w:val="left"/>
    </w:pPr>
    <w:rPr>
      <w:rFonts w:ascii="Wingdings" w:hAnsi="Wingdings" w:cs="宋体"/>
      <w:sz w:val="22"/>
      <w:szCs w:val="22"/>
    </w:rPr>
  </w:style>
  <w:style w:type="paragraph" w:customStyle="1" w:styleId="42">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Cs w:val="24"/>
    </w:rPr>
  </w:style>
  <w:style w:type="paragraph" w:customStyle="1" w:styleId="43">
    <w:name w:val="xl64"/>
    <w:basedOn w:val="1"/>
    <w:autoRedefine/>
    <w:qFormat/>
    <w:uiPriority w:val="0"/>
    <w:pPr>
      <w:widowControl/>
      <w:spacing w:before="100" w:beforeAutospacing="1" w:after="100" w:afterAutospacing="1"/>
      <w:jc w:val="center"/>
    </w:pPr>
    <w:rPr>
      <w:rFonts w:ascii="宋体" w:hAnsi="宋体" w:cs="宋体"/>
      <w:szCs w:val="24"/>
    </w:rPr>
  </w:style>
  <w:style w:type="paragraph" w:customStyle="1" w:styleId="44">
    <w:name w:val="xl65"/>
    <w:basedOn w:val="1"/>
    <w:autoRedefine/>
    <w:qFormat/>
    <w:uiPriority w:val="0"/>
    <w:pPr>
      <w:widowControl/>
      <w:spacing w:before="100" w:beforeAutospacing="1" w:after="100" w:afterAutospacing="1"/>
      <w:jc w:val="left"/>
    </w:pPr>
    <w:rPr>
      <w:rFonts w:ascii="宋体" w:hAnsi="宋体" w:cs="宋体"/>
      <w:szCs w:val="24"/>
    </w:rPr>
  </w:style>
  <w:style w:type="paragraph" w:customStyle="1" w:styleId="45">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Cs w:val="24"/>
    </w:rPr>
  </w:style>
  <w:style w:type="paragraph" w:customStyle="1" w:styleId="4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Cs w:val="24"/>
    </w:rPr>
  </w:style>
  <w:style w:type="paragraph" w:customStyle="1" w:styleId="4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Cs w:val="24"/>
    </w:rPr>
  </w:style>
  <w:style w:type="paragraph" w:customStyle="1" w:styleId="4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4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szCs w:val="24"/>
    </w:rPr>
  </w:style>
  <w:style w:type="paragraph" w:customStyle="1" w:styleId="50">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Cs w:val="24"/>
    </w:rPr>
  </w:style>
  <w:style w:type="paragraph" w:customStyle="1" w:styleId="51">
    <w:name w:val="xl72"/>
    <w:basedOn w:val="1"/>
    <w:autoRedefine/>
    <w:qFormat/>
    <w:uiPriority w:val="0"/>
    <w:pPr>
      <w:widowControl/>
      <w:shd w:val="clear" w:color="000000" w:fill="FFFFFF"/>
      <w:spacing w:before="100" w:beforeAutospacing="1" w:after="100" w:afterAutospacing="1"/>
      <w:jc w:val="center"/>
    </w:pPr>
    <w:rPr>
      <w:rFonts w:ascii="宋体" w:hAnsi="宋体" w:cs="宋体"/>
      <w:szCs w:val="24"/>
    </w:rPr>
  </w:style>
  <w:style w:type="paragraph" w:customStyle="1" w:styleId="52">
    <w:name w:val="xl7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szCs w:val="24"/>
    </w:rPr>
  </w:style>
  <w:style w:type="paragraph" w:customStyle="1" w:styleId="5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Cs w:val="24"/>
    </w:rPr>
  </w:style>
  <w:style w:type="paragraph" w:customStyle="1" w:styleId="54">
    <w:name w:val="xl75"/>
    <w:basedOn w:val="1"/>
    <w:autoRedefine/>
    <w:qFormat/>
    <w:uiPriority w:val="0"/>
    <w:pPr>
      <w:widowControl/>
      <w:spacing w:before="100" w:beforeAutospacing="1" w:after="100" w:afterAutospacing="1"/>
      <w:jc w:val="left"/>
    </w:pPr>
    <w:rPr>
      <w:rFonts w:ascii="宋体" w:hAnsi="宋体" w:cs="宋体"/>
      <w:szCs w:val="24"/>
    </w:rPr>
  </w:style>
  <w:style w:type="paragraph" w:customStyle="1" w:styleId="5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szCs w:val="24"/>
    </w:rPr>
  </w:style>
  <w:style w:type="paragraph" w:customStyle="1" w:styleId="56">
    <w:name w:val="xl77"/>
    <w:basedOn w:val="1"/>
    <w:autoRedefine/>
    <w:qFormat/>
    <w:uiPriority w:val="0"/>
    <w:pPr>
      <w:widowControl/>
      <w:spacing w:before="100" w:beforeAutospacing="1" w:after="100" w:afterAutospacing="1"/>
      <w:jc w:val="right"/>
    </w:pPr>
    <w:rPr>
      <w:rFonts w:ascii="宋体" w:hAnsi="宋体" w:cs="宋体"/>
      <w:szCs w:val="24"/>
    </w:rPr>
  </w:style>
  <w:style w:type="paragraph" w:customStyle="1" w:styleId="57">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szCs w:val="24"/>
    </w:rPr>
  </w:style>
  <w:style w:type="paragraph" w:customStyle="1" w:styleId="5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szCs w:val="24"/>
    </w:rPr>
  </w:style>
  <w:style w:type="paragraph" w:customStyle="1" w:styleId="59">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6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szCs w:val="24"/>
    </w:rPr>
  </w:style>
  <w:style w:type="paragraph" w:customStyle="1" w:styleId="61">
    <w:name w:val="xl82"/>
    <w:basedOn w:val="1"/>
    <w:autoRedefine/>
    <w:qFormat/>
    <w:uiPriority w:val="0"/>
    <w:pPr>
      <w:widowControl/>
      <w:shd w:val="clear" w:color="000000" w:fill="FFFFFF"/>
      <w:spacing w:before="100" w:beforeAutospacing="1" w:after="100" w:afterAutospacing="1"/>
      <w:jc w:val="left"/>
    </w:pPr>
    <w:rPr>
      <w:rFonts w:ascii="宋体" w:hAnsi="宋体" w:cs="宋体"/>
      <w:szCs w:val="24"/>
    </w:rPr>
  </w:style>
  <w:style w:type="paragraph" w:customStyle="1" w:styleId="6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FF0000"/>
      <w:szCs w:val="24"/>
    </w:rPr>
  </w:style>
  <w:style w:type="paragraph" w:customStyle="1" w:styleId="6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szCs w:val="24"/>
    </w:rPr>
  </w:style>
  <w:style w:type="paragraph" w:customStyle="1" w:styleId="64">
    <w:name w:val="xl85"/>
    <w:basedOn w:val="1"/>
    <w:autoRedefine/>
    <w:qFormat/>
    <w:uiPriority w:val="0"/>
    <w:pPr>
      <w:widowControl/>
      <w:spacing w:before="100" w:beforeAutospacing="1" w:after="100" w:afterAutospacing="1"/>
      <w:jc w:val="left"/>
    </w:pPr>
    <w:rPr>
      <w:rFonts w:ascii="宋体" w:hAnsi="宋体" w:cs="宋体"/>
      <w:b/>
      <w:bCs/>
      <w:szCs w:val="24"/>
    </w:rPr>
  </w:style>
  <w:style w:type="paragraph" w:customStyle="1" w:styleId="6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Cs w:val="24"/>
    </w:rPr>
  </w:style>
  <w:style w:type="paragraph" w:customStyle="1" w:styleId="6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szCs w:val="24"/>
    </w:rPr>
  </w:style>
  <w:style w:type="paragraph" w:customStyle="1" w:styleId="67">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szCs w:val="24"/>
    </w:rPr>
  </w:style>
  <w:style w:type="paragraph" w:customStyle="1" w:styleId="6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szCs w:val="24"/>
    </w:rPr>
  </w:style>
  <w:style w:type="paragraph" w:customStyle="1" w:styleId="6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FF0000"/>
      <w:szCs w:val="24"/>
    </w:rPr>
  </w:style>
  <w:style w:type="paragraph" w:customStyle="1" w:styleId="7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szCs w:val="24"/>
    </w:rPr>
  </w:style>
  <w:style w:type="paragraph" w:customStyle="1" w:styleId="71">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FF0000"/>
      <w:szCs w:val="24"/>
    </w:rPr>
  </w:style>
  <w:style w:type="paragraph" w:customStyle="1" w:styleId="7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szCs w:val="24"/>
    </w:rPr>
  </w:style>
  <w:style w:type="paragraph" w:customStyle="1" w:styleId="7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szCs w:val="24"/>
    </w:rPr>
  </w:style>
  <w:style w:type="paragraph" w:customStyle="1" w:styleId="7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Cs w:val="24"/>
    </w:rPr>
  </w:style>
  <w:style w:type="paragraph" w:customStyle="1" w:styleId="75">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cs="宋体"/>
      <w:szCs w:val="24"/>
    </w:rPr>
  </w:style>
  <w:style w:type="paragraph" w:customStyle="1" w:styleId="76">
    <w:name w:val="xl9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szCs w:val="24"/>
    </w:rPr>
  </w:style>
  <w:style w:type="paragraph" w:customStyle="1" w:styleId="77">
    <w:name w:val="xl9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szCs w:val="24"/>
    </w:rPr>
  </w:style>
  <w:style w:type="paragraph" w:customStyle="1" w:styleId="78">
    <w:name w:val="xl9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Cs w:val="24"/>
    </w:rPr>
  </w:style>
  <w:style w:type="paragraph" w:customStyle="1" w:styleId="79">
    <w:name w:val="xl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80">
    <w:name w:val="xl10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81">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8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83">
    <w:name w:val="xl10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84">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85">
    <w:name w:val="xl10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Cs w:val="24"/>
    </w:rPr>
  </w:style>
  <w:style w:type="paragraph" w:customStyle="1" w:styleId="86">
    <w:name w:val="xl10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szCs w:val="24"/>
    </w:rPr>
  </w:style>
  <w:style w:type="character" w:customStyle="1" w:styleId="87">
    <w:name w:val="页眉 Char"/>
    <w:basedOn w:val="20"/>
    <w:link w:val="16"/>
    <w:autoRedefine/>
    <w:qFormat/>
    <w:uiPriority w:val="0"/>
    <w:rPr>
      <w:rFonts w:ascii="Tahoma" w:hAnsi="Tahoma"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37822-20FA-4645-8920-876D30CB692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38</Pages>
  <Words>7034</Words>
  <Characters>40099</Characters>
  <Lines>334</Lines>
  <Paragraphs>94</Paragraphs>
  <TotalTime>8</TotalTime>
  <ScaleCrop>false</ScaleCrop>
  <LinksUpToDate>false</LinksUpToDate>
  <CharactersWithSpaces>47039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2024-05-14T06:03:00Z</dcterms:created>
  <dcterms:modified xsi:type="dcterms:W3CDTF">2024-05-15T02:09:03Z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95AD1040DDB24135950B2885EFCCCA57_13</vt:lpwstr>
  </property>
</Properties>
</file>