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w:t>
      </w:r>
      <w:r>
        <w:rPr>
          <w:rFonts w:hint="eastAsia" w:ascii="Times New Roman" w:hAnsi="Times New Roman" w:eastAsia="方正小标宋简体" w:cs="Times New Roman"/>
          <w:kern w:val="2"/>
          <w:sz w:val="44"/>
          <w:szCs w:val="44"/>
          <w:u w:val="single"/>
        </w:rPr>
        <w:t>单细胞测序</w:t>
      </w:r>
      <w:r>
        <w:rPr>
          <w:rFonts w:hint="eastAsia" w:ascii="Times New Roman" w:hAnsi="Times New Roman" w:eastAsia="方正小标宋简体" w:cs="Times New Roman"/>
          <w:kern w:val="2"/>
          <w:sz w:val="44"/>
          <w:szCs w:val="44"/>
          <w:u w:val="single"/>
          <w:lang w:val="en-US" w:eastAsia="zh-CN"/>
        </w:rPr>
        <w:t xml:space="preserve">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七</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第一部分  </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单细胞测序</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rPr>
        <w:t>1</w:t>
      </w:r>
      <w:r>
        <w:rPr>
          <w:rFonts w:hint="eastAsia" w:ascii="Times New Roman" w:hAnsi="Times New Roman" w:eastAsia="黑体" w:cs="Times New Roman"/>
          <w:kern w:val="2"/>
          <w:sz w:val="28"/>
          <w:szCs w:val="28"/>
          <w:u w:val="single"/>
          <w:lang w:val="en-US" w:eastAsia="zh-CN"/>
        </w:rPr>
        <w:t>4</w:t>
      </w:r>
      <w:r>
        <w:rPr>
          <w:rFonts w:hint="eastAsia" w:ascii="Times New Roman" w:hAnsi="Times New Roman" w:eastAsia="黑体" w:cs="Times New Roman"/>
          <w:kern w:val="2"/>
          <w:sz w:val="28"/>
          <w:szCs w:val="28"/>
          <w:u w:val="single"/>
        </w:rPr>
        <w:t>.</w:t>
      </w:r>
      <w:r>
        <w:rPr>
          <w:rFonts w:hint="eastAsia" w:ascii="Times New Roman" w:hAnsi="Times New Roman" w:eastAsia="黑体" w:cs="Times New Roman"/>
          <w:kern w:val="2"/>
          <w:sz w:val="28"/>
          <w:szCs w:val="28"/>
          <w:u w:val="single"/>
          <w:lang w:val="en-US" w:eastAsia="zh-CN"/>
        </w:rPr>
        <w:t>5</w:t>
      </w:r>
      <w:r>
        <w:rPr>
          <w:rFonts w:hint="eastAsia" w:ascii="Times New Roman" w:hAnsi="Times New Roman" w:eastAsia="黑体" w:cs="Times New Roman"/>
          <w:kern w:val="2"/>
          <w:sz w:val="28"/>
          <w:szCs w:val="28"/>
          <w:u w:val="single"/>
        </w:rPr>
        <w:t>0万元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单细胞测序</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tcPr>
          <w:p>
            <w:pPr>
              <w:adjustRightInd w:val="0"/>
              <w:snapToGrid w:val="0"/>
              <w:spacing w:line="400" w:lineRule="exact"/>
              <w:jc w:val="center"/>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rPr>
              <w:t>1</w:t>
            </w:r>
            <w:r>
              <w:rPr>
                <w:rFonts w:hint="eastAsia" w:ascii="Times New Roman" w:hAnsi="Times New Roman" w:eastAsia="仿宋_GB2312" w:cs="Times New Roman"/>
                <w:kern w:val="2"/>
                <w:sz w:val="24"/>
                <w:szCs w:val="24"/>
                <w:lang w:val="en-US" w:eastAsia="zh-CN"/>
              </w:rPr>
              <w:t>2</w:t>
            </w:r>
          </w:p>
        </w:tc>
        <w:tc>
          <w:tcPr>
            <w:tcW w:w="837" w:type="pct"/>
            <w:shd w:val="clear" w:color="auto" w:fill="auto"/>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个</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2024年7月15日。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w:t>
      </w:r>
      <w:r>
        <w:rPr>
          <w:rFonts w:hint="eastAsia" w:ascii="Times New Roman" w:hAnsi="Times New Roman" w:eastAsia="仿宋_GB2312" w:cs="Times New Roman"/>
          <w:kern w:val="0"/>
          <w:sz w:val="28"/>
          <w:szCs w:val="28"/>
          <w:lang w:val="en-US" w:eastAsia="zh-CN"/>
        </w:rPr>
        <w:t>7</w:t>
      </w:r>
      <w:r>
        <w:rPr>
          <w:rFonts w:hint="eastAsia"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19</w:t>
      </w:r>
      <w:r>
        <w:rPr>
          <w:rFonts w:hint="eastAsia" w:ascii="Times New Roman" w:hAnsi="Times New Roman" w:eastAsia="仿宋_GB2312" w:cs="Times New Roman"/>
          <w:kern w:val="0"/>
          <w:sz w:val="28"/>
          <w:szCs w:val="28"/>
        </w:rPr>
        <w:t>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0"/>
        </w:numPr>
        <w:spacing w:before="340" w:after="330" w:line="578" w:lineRule="auto"/>
        <w:jc w:val="center"/>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hint="default" w:ascii="Times New Roman" w:hAnsi="Times New Roman" w:eastAsia="宋体" w:cs="Times New Roman"/>
                <w:kern w:val="2"/>
                <w:lang w:val="en-US" w:eastAsia="zh-CN"/>
              </w:rPr>
            </w:pPr>
            <w:r>
              <w:rPr>
                <w:rFonts w:hint="eastAsia" w:ascii="Times New Roman" w:hAnsi="Times New Roman" w:eastAsia="仿宋_GB2312" w:cs="Times New Roman"/>
                <w:kern w:val="2"/>
                <w:sz w:val="24"/>
                <w:szCs w:val="24"/>
                <w:lang w:val="en-US" w:eastAsia="zh-CN"/>
              </w:rPr>
              <w:t>单细胞测序</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个</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4"/>
                <w:szCs w:val="24"/>
              </w:rPr>
              <w:t>1</w:t>
            </w:r>
            <w:r>
              <w:rPr>
                <w:rFonts w:hint="eastAsia" w:ascii="Times New Roman" w:hAnsi="Times New Roman" w:cs="Times New Roman"/>
                <w:kern w:val="2"/>
                <w:sz w:val="24"/>
                <w:szCs w:val="24"/>
                <w:lang w:val="en-US" w:eastAsia="zh-CN"/>
              </w:rPr>
              <w:t>2</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kern w:val="2"/>
                <w:lang w:val="en-US"/>
              </w:rPr>
            </w:pPr>
            <w:r>
              <w:rPr>
                <w:rFonts w:hint="eastAsia" w:ascii="Times New Roman" w:hAnsi="Times New Roman" w:cs="Times New Roman"/>
                <w:kern w:val="2"/>
                <w:sz w:val="24"/>
                <w:szCs w:val="24"/>
              </w:rPr>
              <w:t>1</w:t>
            </w:r>
            <w:r>
              <w:rPr>
                <w:rFonts w:hint="eastAsia" w:ascii="Times New Roman" w:hAnsi="Times New Roman" w:cs="Times New Roman"/>
                <w:kern w:val="2"/>
                <w:sz w:val="24"/>
                <w:szCs w:val="24"/>
                <w:lang w:val="en-US" w:eastAsia="zh-CN"/>
              </w:rPr>
              <w:t>2</w:t>
            </w:r>
            <w:r>
              <w:rPr>
                <w:rFonts w:hint="eastAsia" w:ascii="Times New Roman" w:hAnsi="Times New Roman" w:eastAsia="仿宋_GB2312" w:cs="Times New Roman"/>
                <w:kern w:val="2"/>
                <w:sz w:val="24"/>
                <w:szCs w:val="24"/>
                <w:lang w:val="en-US" w:eastAsia="zh-CN"/>
              </w:rPr>
              <w:t>个样本</w:t>
            </w: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line="579" w:lineRule="exact"/>
        <w:ind w:left="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得到单细胞测序原始数据及项目结题报告，获得公司云平台分析权限，得到良好的售后服务和公司技术人员的详细技术指导。</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rPr>
                <w:rFonts w:ascii="仿宋_GB2312" w:hAnsi="宋体" w:cs="宋体"/>
                <w:szCs w:val="24"/>
              </w:rPr>
            </w:pPr>
            <w:r>
              <w:rPr>
                <w:rFonts w:hint="eastAsia" w:ascii="仿宋_GB2312" w:hAnsi="宋体" w:cs="宋体"/>
                <w:szCs w:val="24"/>
              </w:rPr>
              <w:t>采用DNB C4微流控平台完成细胞无偏差捕获；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ascii="仿宋_GB2312" w:hAnsi="宋体" w:cs="宋体"/>
                <w:szCs w:val="24"/>
              </w:rPr>
              <w:t>单细胞RNA文库采用国产DNBSEQ测序平台完成测序；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回收效率不低于50%，捕获细胞不少于5000个细胞；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rPr>
              <w:t>每个样本捕获中位基因数量不低于1000个基因；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pPr>
            <w:r>
              <w:rPr>
                <w:rFonts w:hint="eastAsia"/>
              </w:rPr>
              <w:t>每个样本测序深度不低于500M 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参数6</w:t>
            </w:r>
          </w:p>
        </w:tc>
        <w:tc>
          <w:tcPr>
            <w:tcW w:w="5991" w:type="dxa"/>
            <w:vAlign w:val="center"/>
          </w:tcPr>
          <w:p>
            <w:pPr>
              <w:snapToGrid w:val="0"/>
              <w:rPr>
                <w:rFonts w:ascii="宋体" w:hAnsi="宋体"/>
              </w:rPr>
            </w:pPr>
            <w:r>
              <w:rPr>
                <w:rFonts w:hint="eastAsia"/>
              </w:rPr>
              <w:t>制备单细胞悬液活细胞占比不低于80%，非细胞背景结团率不高于10%，细胞总数不少于10w细胞。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pPr>
            <w:r>
              <w:rPr>
                <w:rFonts w:hint="eastAsia" w:ascii="宋体" w:hAnsi="宋体"/>
              </w:rPr>
              <w:t>数据分析采用云分析交付，云平台</w:t>
            </w:r>
            <w:r>
              <w:rPr>
                <w:rFonts w:hint="eastAsia"/>
              </w:rPr>
              <w:t>单细胞RNA-seq数据分析包含：</w:t>
            </w:r>
          </w:p>
          <w:p>
            <w:pPr>
              <w:snapToGrid w:val="0"/>
            </w:pPr>
            <w:r>
              <w:rPr>
                <w:rFonts w:hint="eastAsia"/>
              </w:rPr>
              <w:t>1.多样本数据整合；</w:t>
            </w:r>
          </w:p>
          <w:p>
            <w:pPr>
              <w:snapToGrid w:val="0"/>
            </w:pPr>
            <w:r>
              <w:rPr>
                <w:rFonts w:hint="eastAsia"/>
              </w:rPr>
              <w:t>2.去除批次效应；</w:t>
            </w:r>
          </w:p>
          <w:p>
            <w:pPr>
              <w:snapToGrid w:val="0"/>
            </w:pPr>
            <w:r>
              <w:rPr>
                <w:rFonts w:hint="eastAsia"/>
              </w:rPr>
              <w:t>3.质控可视化；</w:t>
            </w:r>
          </w:p>
          <w:p>
            <w:pPr>
              <w:snapToGrid w:val="0"/>
            </w:pPr>
            <w:r>
              <w:rPr>
                <w:rFonts w:hint="eastAsia"/>
              </w:rPr>
              <w:t>3.多样本细胞聚类分析；</w:t>
            </w:r>
          </w:p>
          <w:p>
            <w:pPr>
              <w:snapToGrid w:val="0"/>
            </w:pPr>
            <w:r>
              <w:rPr>
                <w:rFonts w:hint="eastAsia"/>
              </w:rPr>
              <w:t>4.umap、t-sne 降维可视化展示；</w:t>
            </w:r>
          </w:p>
          <w:p>
            <w:pPr>
              <w:snapToGrid w:val="0"/>
            </w:pPr>
            <w:r>
              <w:rPr>
                <w:rFonts w:hint="eastAsia"/>
              </w:rPr>
              <w:t>5.亚群特异表达基因分析；</w:t>
            </w:r>
          </w:p>
          <w:p>
            <w:pPr>
              <w:snapToGrid w:val="0"/>
            </w:pPr>
            <w:r>
              <w:rPr>
                <w:rFonts w:hint="eastAsia"/>
              </w:rPr>
              <w:t>6.亚群特异基因 GO 功能富集分析；</w:t>
            </w:r>
          </w:p>
          <w:p>
            <w:pPr>
              <w:snapToGrid w:val="0"/>
            </w:pPr>
            <w:r>
              <w:rPr>
                <w:rFonts w:hint="eastAsia"/>
              </w:rPr>
              <w:t>7.亚群特异基因 KEGG 功能富集分析；</w:t>
            </w:r>
          </w:p>
          <w:p>
            <w:pPr>
              <w:snapToGrid w:val="0"/>
            </w:pPr>
            <w:r>
              <w:rPr>
                <w:rFonts w:hint="eastAsia"/>
              </w:rPr>
              <w:t>8.细胞周期效应分析；</w:t>
            </w:r>
          </w:p>
          <w:p>
            <w:pPr>
              <w:snapToGrid w:val="0"/>
            </w:pPr>
            <w:r>
              <w:rPr>
                <w:rFonts w:hint="eastAsia"/>
              </w:rPr>
              <w:t>9.singleR定义细胞类型（限人鼠）；</w:t>
            </w:r>
          </w:p>
          <w:p>
            <w:pPr>
              <w:snapToGrid w:val="0"/>
            </w:pPr>
            <w:r>
              <w:rPr>
                <w:rFonts w:hint="eastAsia"/>
              </w:rPr>
              <w:t>10.已知marker基因可视化画图（热图、小提琴图、散点图）；</w:t>
            </w:r>
          </w:p>
          <w:p>
            <w:pPr>
              <w:snapToGrid w:val="0"/>
            </w:pPr>
            <w:r>
              <w:rPr>
                <w:rFonts w:hint="eastAsia"/>
              </w:rPr>
              <w:t>11.样本/分组之间细胞占比分析；</w:t>
            </w:r>
          </w:p>
          <w:p>
            <w:pPr>
              <w:snapToGrid w:val="0"/>
            </w:pPr>
            <w:r>
              <w:rPr>
                <w:rFonts w:hint="eastAsia"/>
              </w:rPr>
              <w:t>12.样本/分组间差异表达基因分析；</w:t>
            </w:r>
          </w:p>
          <w:p>
            <w:pPr>
              <w:snapToGrid w:val="0"/>
            </w:pPr>
            <w:r>
              <w:rPr>
                <w:rFonts w:hint="eastAsia"/>
              </w:rPr>
              <w:t>13.样本/分组之间差异表达基因GO、KEGG功能富集分析；</w:t>
            </w:r>
          </w:p>
          <w:p>
            <w:pPr>
              <w:snapToGrid w:val="0"/>
            </w:pPr>
            <w:r>
              <w:rPr>
                <w:rFonts w:hint="eastAsia"/>
              </w:rPr>
              <w:t>14.筛选细胞重新聚类分析；</w:t>
            </w:r>
          </w:p>
          <w:p>
            <w:pPr>
              <w:snapToGrid w:val="0"/>
            </w:pPr>
            <w:r>
              <w:rPr>
                <w:rFonts w:hint="eastAsia"/>
              </w:rPr>
              <w:t>15.根据文章marker基因定型细胞类型；</w:t>
            </w:r>
          </w:p>
          <w:p>
            <w:pPr>
              <w:snapToGrid w:val="0"/>
            </w:pPr>
            <w:r>
              <w:rPr>
                <w:rFonts w:hint="eastAsia"/>
              </w:rPr>
              <w:t>16.Monocle2和Monocle3细胞轨迹分析；</w:t>
            </w:r>
          </w:p>
          <w:p>
            <w:pPr>
              <w:snapToGrid w:val="0"/>
            </w:pPr>
            <w:r>
              <w:rPr>
                <w:rFonts w:hint="eastAsia"/>
              </w:rPr>
              <w:t>17.去除周期效应；</w:t>
            </w:r>
          </w:p>
          <w:p>
            <w:pPr>
              <w:snapToGrid w:val="0"/>
            </w:pPr>
            <w:r>
              <w:rPr>
                <w:rFonts w:hint="eastAsia"/>
              </w:rPr>
              <w:t>18.DoubletDecon去除双细胞；</w:t>
            </w:r>
          </w:p>
          <w:p>
            <w:pPr>
              <w:snapToGrid w:val="0"/>
            </w:pPr>
            <w:r>
              <w:rPr>
                <w:rFonts w:hint="eastAsia"/>
              </w:rPr>
              <w:t>19.细胞异质性差异分析；</w:t>
            </w:r>
          </w:p>
          <w:p>
            <w:pPr>
              <w:snapToGrid w:val="0"/>
            </w:pPr>
            <w:r>
              <w:rPr>
                <w:rFonts w:hint="eastAsia"/>
              </w:rPr>
              <w:t>20.GSVA分析；</w:t>
            </w:r>
          </w:p>
          <w:p>
            <w:pPr>
              <w:snapToGrid w:val="0"/>
            </w:pPr>
            <w:r>
              <w:rPr>
                <w:rFonts w:hint="eastAsia"/>
              </w:rPr>
              <w:t>21.代谢通路活性分析；</w:t>
            </w:r>
          </w:p>
          <w:p>
            <w:pPr>
              <w:snapToGrid w:val="0"/>
            </w:pPr>
            <w:r>
              <w:rPr>
                <w:rFonts w:hint="eastAsia"/>
              </w:rPr>
              <w:t>22.特定基因集分数计算与可视化；</w:t>
            </w:r>
          </w:p>
          <w:p>
            <w:pPr>
              <w:snapToGrid w:val="0"/>
            </w:pPr>
            <w:r>
              <w:rPr>
                <w:rFonts w:hint="eastAsia"/>
              </w:rPr>
              <w:t>23.细胞通讯分析(cell chat&amp;CellphoneDB)；</w:t>
            </w:r>
          </w:p>
          <w:p>
            <w:pPr>
              <w:snapToGrid w:val="0"/>
            </w:pPr>
            <w:r>
              <w:rPr>
                <w:rFonts w:hint="eastAsia"/>
              </w:rPr>
              <w:t>24.inferCNV拷贝数变异分析；</w:t>
            </w:r>
          </w:p>
          <w:p>
            <w:pPr>
              <w:snapToGrid w:val="0"/>
            </w:pPr>
            <w:r>
              <w:rPr>
                <w:rFonts w:hint="eastAsia"/>
              </w:rPr>
              <w:t>25.预测肿瘤细胞</w:t>
            </w:r>
            <w:r>
              <w:t>copyKAT</w:t>
            </w:r>
            <w:r>
              <w:rPr>
                <w:rFonts w:hint="eastAsia"/>
              </w:rPr>
              <w:t>；</w:t>
            </w:r>
          </w:p>
          <w:p>
            <w:pPr>
              <w:snapToGrid w:val="0"/>
            </w:pPr>
            <w:r>
              <w:rPr>
                <w:rFonts w:hint="eastAsia"/>
              </w:rPr>
              <w:t>26.inferCNV拷贝数变异分析；</w:t>
            </w:r>
          </w:p>
          <w:p>
            <w:pPr>
              <w:snapToGrid w:val="0"/>
            </w:pPr>
            <w:r>
              <w:rPr>
                <w:rFonts w:hint="eastAsia"/>
              </w:rPr>
              <w:t>27.基因表达细胞筛选分析；</w:t>
            </w:r>
          </w:p>
          <w:p>
            <w:pPr>
              <w:snapToGrid w:val="0"/>
            </w:pPr>
            <w:r>
              <w:rPr>
                <w:rFonts w:hint="eastAsia"/>
              </w:rPr>
              <w:t>28.随机筛选细胞分析；</w:t>
            </w:r>
          </w:p>
          <w:p>
            <w:pPr>
              <w:snapToGrid w:val="0"/>
            </w:pPr>
            <w:r>
              <w:rPr>
                <w:rFonts w:hint="eastAsia"/>
              </w:rPr>
              <w:t>29. 单细胞RNA速率（RNA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hint="eastAsia" w:ascii="宋体" w:hAnsi="宋体" w:eastAsia="宋体"/>
                <w:lang w:eastAsia="zh-CN"/>
              </w:rPr>
            </w:pPr>
            <w:r>
              <w:rPr>
                <w:rFonts w:hint="eastAsia" w:ascii="宋体" w:hAnsi="宋体"/>
              </w:rPr>
              <w:t>C4平台单细胞领域，供应商应在近5年</w:t>
            </w:r>
            <w:r>
              <w:rPr>
                <w:rFonts w:hint="eastAsia" w:ascii="宋体" w:hAnsi="宋体"/>
                <w:lang w:val="en-US" w:eastAsia="zh-CN"/>
              </w:rPr>
              <w:t>内</w:t>
            </w:r>
            <w:r>
              <w:rPr>
                <w:rFonts w:hint="eastAsia" w:ascii="宋体" w:hAnsi="宋体"/>
              </w:rPr>
              <w:t>支持用户在Nature、Cell或</w:t>
            </w:r>
            <w:bookmarkStart w:id="0" w:name="_GoBack"/>
            <w:r>
              <w:rPr>
                <w:rFonts w:hint="eastAsia" w:ascii="宋体" w:hAnsi="宋体"/>
              </w:rPr>
              <w:t>Science</w:t>
            </w:r>
            <w:bookmarkEnd w:id="0"/>
            <w:r>
              <w:rPr>
                <w:rFonts w:hint="eastAsia" w:ascii="宋体" w:hAnsi="宋体"/>
              </w:rPr>
              <w:t>主刊上至少发表</w:t>
            </w:r>
            <w:r>
              <w:rPr>
                <w:rFonts w:hint="eastAsia" w:ascii="宋体" w:hAnsi="宋体"/>
                <w:lang w:val="en-US" w:eastAsia="zh-CN"/>
              </w:rPr>
              <w:t>过</w:t>
            </w:r>
            <w:r>
              <w:rPr>
                <w:rFonts w:hint="eastAsia" w:ascii="宋体" w:hAnsi="宋体"/>
              </w:rPr>
              <w:t>一篇文章，并提供材料。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default" w:ascii="宋体" w:hAnsi="宋体" w:eastAsia="宋体" w:cs="宋体"/>
                <w:kern w:val="0"/>
                <w:lang w:val="en-US" w:eastAsia="zh-CN"/>
              </w:rPr>
            </w:pPr>
            <w:r>
              <w:rPr>
                <w:rFonts w:hint="eastAsia" w:ascii="宋体" w:hAnsi="宋体" w:cs="宋体"/>
                <w:kern w:val="0"/>
                <w:lang w:val="en-US" w:eastAsia="zh-CN"/>
              </w:rPr>
              <w:t>参数9</w:t>
            </w:r>
          </w:p>
        </w:tc>
        <w:tc>
          <w:tcPr>
            <w:tcW w:w="5991" w:type="dxa"/>
            <w:vAlign w:val="center"/>
          </w:tcPr>
          <w:p>
            <w:pPr>
              <w:snapToGrid w:val="0"/>
              <w:rPr>
                <w:rFonts w:hint="eastAsia" w:ascii="宋体" w:hAnsi="宋体"/>
              </w:rPr>
            </w:pPr>
            <w:r>
              <w:rPr>
                <w:rFonts w:hint="eastAsia" w:ascii="宋体" w:hAnsi="宋体"/>
                <w:lang w:val="en-US" w:eastAsia="zh-CN"/>
              </w:rPr>
              <w:t>供应商</w:t>
            </w:r>
            <w:r>
              <w:rPr>
                <w:rFonts w:hint="eastAsia" w:ascii="宋体" w:hAnsi="宋体"/>
              </w:rPr>
              <w:t>资质体系认证证书：ISO9001、ISO14001、ISO45001及ISO/IEC27001证书</w:t>
            </w:r>
            <w:r>
              <w:rPr>
                <w:rFonts w:hint="eastAsia" w:ascii="宋体" w:hAnsi="宋体"/>
                <w:lang w:eastAsia="zh-CN"/>
              </w:rPr>
              <w:t>。</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（一）实施要求</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1.实施时间：成交人应在采购合同生效后，自采购人提交测序样品之日起，</w:t>
      </w:r>
      <w:r>
        <w:rPr>
          <w:rFonts w:ascii="Times New Roman" w:hAnsi="Times New Roman" w:eastAsia="仿宋_GB2312" w:cs="Times New Roman"/>
          <w:kern w:val="2"/>
          <w:sz w:val="32"/>
          <w:szCs w:val="28"/>
        </w:rPr>
        <w:t>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w:t>
      </w:r>
      <w:r>
        <w:rPr>
          <w:rFonts w:hint="eastAsia" w:ascii="仿宋_GB2312" w:hAnsi="仿宋_GB2312" w:eastAsia="仿宋_GB2312" w:cs="仿宋_GB2312"/>
          <w:sz w:val="32"/>
          <w:szCs w:val="32"/>
        </w:rPr>
        <w:t>递交测序完成报告。</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2.实施地点：重庆市沙坪坝区高滩岩正街30号。</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3.实施方式：成交人按照采购单位的要求，完成测序报告，然后进行个性化分析。</w:t>
      </w:r>
    </w:p>
    <w:p>
      <w:pPr>
        <w:adjustRightInd w:val="0"/>
        <w:snapToGrid w:val="0"/>
        <w:spacing w:line="480" w:lineRule="exact"/>
        <w:ind w:firstLine="640" w:firstLineChars="200"/>
        <w:rPr>
          <w:rFonts w:ascii="宋体" w:hAnsi="宋体" w:cs="宋体"/>
          <w:sz w:val="32"/>
          <w:szCs w:val="32"/>
        </w:rPr>
      </w:pPr>
      <w:r>
        <w:rPr>
          <w:rFonts w:hint="eastAsia" w:ascii="楷体_GB2312" w:hAnsi="楷体_GB2312" w:eastAsia="楷体_GB2312" w:cs="楷体_GB2312"/>
          <w:sz w:val="32"/>
          <w:szCs w:val="32"/>
        </w:rPr>
        <w:t>（二）售后服务</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成交人必须提供所有的定制化分析，基本分析+高级分析+个性化分析，一直服务到文章发表，不限定生物信息学分析次数和文章发表篇数。</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（三）付款方式</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成交人向采购人递交测序完成报告，采购人验收确认后支付协议金额</w:t>
      </w:r>
      <w:r>
        <w:rPr>
          <w:rFonts w:ascii="Times New Roman" w:hAnsi="Times New Roman" w:eastAsia="仿宋_GB2312" w:cs="Times New Roman"/>
          <w:kern w:val="2"/>
          <w:sz w:val="32"/>
          <w:szCs w:val="28"/>
        </w:rPr>
        <w:t>的百分之九十五</w:t>
      </w:r>
      <w:r>
        <w:rPr>
          <w:rFonts w:hint="eastAsia" w:ascii="仿宋_GB2312" w:hAnsi="仿宋_GB2312" w:eastAsia="仿宋_GB2312" w:cs="仿宋_GB2312"/>
          <w:sz w:val="32"/>
          <w:szCs w:val="32"/>
        </w:rPr>
        <w:t>，</w:t>
      </w:r>
      <w:r>
        <w:rPr>
          <w:rFonts w:ascii="Times New Roman" w:hAnsi="Times New Roman" w:eastAsia="仿宋_GB2312" w:cs="Times New Roman"/>
          <w:kern w:val="2"/>
          <w:sz w:val="32"/>
          <w:szCs w:val="28"/>
        </w:rPr>
        <w:t>余百分之五作为</w:t>
      </w:r>
      <w:r>
        <w:rPr>
          <w:rFonts w:hint="eastAsia" w:ascii="Times New Roman" w:hAnsi="Times New Roman" w:eastAsia="仿宋_GB2312" w:cs="Times New Roman"/>
          <w:kern w:val="2"/>
          <w:sz w:val="32"/>
          <w:szCs w:val="28"/>
        </w:rPr>
        <w:t>售后</w:t>
      </w:r>
      <w:r>
        <w:rPr>
          <w:rFonts w:ascii="Times New Roman" w:hAnsi="Times New Roman" w:eastAsia="仿宋_GB2312" w:cs="Times New Roman"/>
          <w:kern w:val="2"/>
          <w:sz w:val="32"/>
          <w:szCs w:val="28"/>
        </w:rPr>
        <w:t>质保金</w:t>
      </w:r>
      <w:r>
        <w:rPr>
          <w:rFonts w:hint="eastAsia" w:ascii="Times New Roman" w:hAnsi="Times New Roman" w:eastAsia="仿宋_GB2312" w:cs="Times New Roman"/>
          <w:kern w:val="2"/>
          <w:sz w:val="32"/>
          <w:szCs w:val="28"/>
        </w:rPr>
        <w:t>，售后服务</w:t>
      </w:r>
      <w:r>
        <w:rPr>
          <w:rFonts w:ascii="Times New Roman" w:hAnsi="Times New Roman" w:eastAsia="仿宋_GB2312" w:cs="Times New Roman"/>
          <w:kern w:val="2"/>
          <w:sz w:val="32"/>
          <w:szCs w:val="28"/>
        </w:rPr>
        <w:t>期</w:t>
      </w:r>
      <w:r>
        <w:rPr>
          <w:rFonts w:hint="eastAsia" w:ascii="Times New Roman" w:hAnsi="Times New Roman" w:eastAsia="仿宋_GB2312" w:cs="Times New Roman"/>
          <w:kern w:val="2"/>
          <w:sz w:val="32"/>
          <w:szCs w:val="28"/>
        </w:rPr>
        <w:t>两</w:t>
      </w:r>
      <w:r>
        <w:rPr>
          <w:rFonts w:ascii="Times New Roman" w:hAnsi="Times New Roman" w:eastAsia="仿宋_GB2312" w:cs="Times New Roman"/>
          <w:kern w:val="2"/>
          <w:sz w:val="32"/>
          <w:szCs w:val="28"/>
        </w:rPr>
        <w:t>年，期满后支付剩下的百分之五。</w:t>
      </w:r>
    </w:p>
    <w:p>
      <w:pPr>
        <w:snapToGrid w:val="0"/>
        <w:spacing w:line="480" w:lineRule="exact"/>
        <w:ind w:firstLine="640" w:firstLineChars="200"/>
        <w:jc w:val="left"/>
        <w:rPr>
          <w:rFonts w:eastAsia="仿宋_GB2312"/>
          <w:sz w:val="32"/>
          <w:szCs w:val="32"/>
        </w:rPr>
      </w:pPr>
      <w:r>
        <w:rPr>
          <w:rFonts w:hint="eastAsia" w:ascii="楷体_GB2312" w:hAnsi="楷体_GB2312" w:eastAsia="楷体_GB2312" w:cs="楷体_GB2312"/>
          <w:sz w:val="32"/>
          <w:szCs w:val="32"/>
        </w:rPr>
        <w:t>（四）</w:t>
      </w:r>
      <w:r>
        <w:rPr>
          <w:rFonts w:hint="eastAsia" w:eastAsia="仿宋_GB2312"/>
          <w:sz w:val="32"/>
          <w:szCs w:val="32"/>
        </w:rPr>
        <w:t>验收方式</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采购人收到测序完成报告后，由课题组提出个性化分析要求，成交人进行个性化分析，课题组对个性化分析结果进行验收。</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（五）知识产权</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本测序服务项目产生的成果，包括但不限于专利、实用新型专利、著作权等为甲方所有。</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32"/>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仿宋_GB2312" w:hAnsi="仿宋_GB2312" w:eastAsia="仿宋_GB2312" w:cs="仿宋_GB2312"/>
          <w:sz w:val="32"/>
          <w:szCs w:val="32"/>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5"/>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3ZDc1OTJhYmU4YjU0YTdjNGMxZThiMTkxOWEyYzE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0E13759B"/>
    <w:rsid w:val="137247BC"/>
    <w:rsid w:val="18DA6CE0"/>
    <w:rsid w:val="1DB10ED7"/>
    <w:rsid w:val="28FD747A"/>
    <w:rsid w:val="2CB431B9"/>
    <w:rsid w:val="333700A4"/>
    <w:rsid w:val="39924BE7"/>
    <w:rsid w:val="49C56A6D"/>
    <w:rsid w:val="55346855"/>
    <w:rsid w:val="5F19244E"/>
    <w:rsid w:val="64931193"/>
    <w:rsid w:val="671A37D9"/>
    <w:rsid w:val="6C844649"/>
    <w:rsid w:val="720E691A"/>
    <w:rsid w:val="79850A5C"/>
    <w:rsid w:val="79B94935"/>
    <w:rsid w:val="7ABC5A4C"/>
    <w:rsid w:val="7E492A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5">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rPr>
      <w:rFonts w:ascii="仿宋_GB2312" w:hAnsi="Times New Roman" w:eastAsia="仿宋_GB2312" w:cs="仿宋_GB2312"/>
      <w:b/>
      <w:bCs/>
      <w:kern w:val="2"/>
      <w:sz w:val="32"/>
      <w:szCs w:val="32"/>
    </w:rPr>
  </w:style>
  <w:style w:type="paragraph" w:styleId="6">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7">
    <w:name w:val="Document Map"/>
    <w:basedOn w:val="1"/>
    <w:link w:val="59"/>
    <w:semiHidden/>
    <w:unhideWhenUsed/>
    <w:qFormat/>
    <w:uiPriority w:val="99"/>
    <w:rPr>
      <w:rFonts w:ascii="宋体"/>
      <w:sz w:val="18"/>
      <w:szCs w:val="18"/>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qFormat/>
    <w:uiPriority w:val="0"/>
  </w:style>
  <w:style w:type="character" w:styleId="26">
    <w:name w:val="HTML Definition"/>
    <w:qFormat/>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qFormat/>
    <w:uiPriority w:val="0"/>
    <w:rPr>
      <w:rFonts w:hint="default" w:ascii="monospace" w:hAnsi="monospace" w:eastAsia="monospace" w:cs="monospace"/>
      <w:sz w:val="21"/>
      <w:szCs w:val="21"/>
    </w:rPr>
  </w:style>
  <w:style w:type="character" w:styleId="30">
    <w:name w:val="HTML Sample"/>
    <w:qFormat/>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2"/>
    <w:qFormat/>
    <w:locked/>
    <w:uiPriority w:val="0"/>
    <w:rPr>
      <w:rFonts w:cs="Times New Roman"/>
      <w:kern w:val="10"/>
      <w:sz w:val="21"/>
      <w:szCs w:val="21"/>
    </w:rPr>
  </w:style>
  <w:style w:type="character" w:customStyle="1" w:styleId="34">
    <w:name w:val="批注框文本 字符"/>
    <w:basedOn w:val="21"/>
    <w:link w:val="12"/>
    <w:qFormat/>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qFormat/>
    <w:uiPriority w:val="99"/>
    <w:rPr>
      <w:rFonts w:eastAsia="宋体" w:cs="Times New Roman"/>
      <w:kern w:val="2"/>
      <w:sz w:val="18"/>
      <w:szCs w:val="18"/>
      <w:lang w:val="en-US" w:eastAsia="zh-CN"/>
    </w:rPr>
  </w:style>
  <w:style w:type="character" w:customStyle="1" w:styleId="37">
    <w:name w:val="Char Char1"/>
    <w:basedOn w:val="21"/>
    <w:qFormat/>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qFormat/>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7"/>
    <w:semiHidden/>
    <w:qFormat/>
    <w:uiPriority w:val="99"/>
    <w:rPr>
      <w:rFonts w:ascii="宋体" w:cs="Calibri"/>
      <w:kern w:val="10"/>
      <w:sz w:val="18"/>
      <w:szCs w:val="18"/>
    </w:rPr>
  </w:style>
  <w:style w:type="paragraph" w:customStyle="1" w:styleId="60">
    <w:name w:val="Default"/>
    <w:qForma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2772</Words>
  <Characters>3071</Characters>
  <Lines>33</Lines>
  <Paragraphs>9</Paragraphs>
  <TotalTime>1</TotalTime>
  <ScaleCrop>false</ScaleCrop>
  <LinksUpToDate>false</LinksUpToDate>
  <CharactersWithSpaces>3182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2024-07-09T13:41:20Z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B4202ED53C5544CFBBDCA5AAF8B53080_13</vt:lpwstr>
  </property>
</Properties>
</file>