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ascii="方正小标宋简体" w:eastAsia="方正小标宋简体"/>
          <w:sz w:val="44"/>
          <w:szCs w:val="44"/>
        </w:rPr>
      </w:pPr>
      <w:r>
        <w:rPr>
          <w:rFonts w:hint="eastAsia" w:ascii="方正小标宋简体" w:eastAsia="方正小标宋简体"/>
          <w:sz w:val="44"/>
          <w:szCs w:val="44"/>
        </w:rPr>
        <w:t>采购参数说明书</w:t>
      </w:r>
    </w:p>
    <w:p>
      <w:pPr>
        <w:spacing w:line="520" w:lineRule="exact"/>
        <w:outlineLvl w:val="0"/>
        <w:rPr>
          <w:rFonts w:ascii="仿宋" w:hAnsi="仿宋" w:eastAsia="仿宋" w:cs="Times New Roman"/>
          <w:kern w:val="0"/>
          <w:sz w:val="30"/>
          <w:szCs w:val="30"/>
        </w:rPr>
      </w:pPr>
      <w:r>
        <w:rPr>
          <w:rFonts w:hint="eastAsia" w:ascii="方正小标宋简体" w:hAnsi="仿宋" w:eastAsia="方正小标宋简体" w:cs="Times New Roman"/>
          <w:sz w:val="30"/>
          <w:szCs w:val="30"/>
        </w:rPr>
        <w:t>一、项目名称：</w:t>
      </w:r>
      <w:r>
        <w:rPr>
          <w:rFonts w:hint="eastAsia" w:ascii="仿宋" w:hAnsi="仿宋" w:eastAsia="仿宋" w:cs="Times New Roman"/>
          <w:kern w:val="0"/>
          <w:sz w:val="30"/>
          <w:szCs w:val="30"/>
        </w:rPr>
        <w:t>医学虚拟仿真实验教学系统</w:t>
      </w:r>
    </w:p>
    <w:p>
      <w:pPr>
        <w:spacing w:line="520" w:lineRule="exact"/>
        <w:rPr>
          <w:rFonts w:ascii="仿宋" w:hAnsi="仿宋" w:eastAsia="仿宋" w:cs="Times New Roman"/>
          <w:sz w:val="30"/>
          <w:szCs w:val="30"/>
        </w:rPr>
      </w:pPr>
      <w:r>
        <w:rPr>
          <w:rFonts w:hint="eastAsia" w:ascii="黑体" w:hAnsi="黑体" w:eastAsia="黑体" w:cs="Times New Roman"/>
          <w:sz w:val="30"/>
          <w:szCs w:val="30"/>
        </w:rPr>
        <w:t>二、</w:t>
      </w:r>
      <w:r>
        <w:rPr>
          <w:rFonts w:hint="eastAsia" w:ascii="方正小标宋简体" w:hAnsi="仿宋" w:eastAsia="方正小标宋简体" w:cs="Times New Roman"/>
          <w:sz w:val="32"/>
          <w:szCs w:val="32"/>
        </w:rPr>
        <w:t>最高限价（或项目预算）：230</w:t>
      </w:r>
      <w:r>
        <w:rPr>
          <w:rFonts w:hint="eastAsia" w:ascii="仿宋" w:hAnsi="仿宋" w:eastAsia="仿宋" w:cs="Times New Roman"/>
          <w:sz w:val="30"/>
          <w:szCs w:val="30"/>
        </w:rPr>
        <w:t>万元</w:t>
      </w:r>
    </w:p>
    <w:p>
      <w:pPr>
        <w:spacing w:line="560" w:lineRule="exact"/>
        <w:outlineLvl w:val="0"/>
        <w:rPr>
          <w:rFonts w:ascii="方正小标宋简体" w:hAnsi="仿宋" w:eastAsia="方正小标宋简体" w:cs="Times New Roman"/>
          <w:sz w:val="32"/>
          <w:szCs w:val="32"/>
        </w:rPr>
      </w:pPr>
      <w:r>
        <w:rPr>
          <w:rFonts w:hint="eastAsia" w:ascii="方正小标宋简体" w:hAnsi="仿宋" w:eastAsia="方正小标宋简体" w:cs="Times New Roman"/>
          <w:sz w:val="32"/>
          <w:szCs w:val="32"/>
        </w:rPr>
        <w:t>三、采购项目需求</w:t>
      </w:r>
    </w:p>
    <w:p>
      <w:pPr>
        <w:spacing w:line="560" w:lineRule="exact"/>
        <w:outlineLvl w:val="2"/>
        <w:rPr>
          <w:rFonts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（一）技术要求</w:t>
      </w:r>
    </w:p>
    <w:p>
      <w:pPr>
        <w:spacing w:line="560" w:lineRule="exact"/>
        <w:ind w:firstLine="643" w:firstLineChars="200"/>
        <w:outlineLvl w:val="2"/>
        <w:rPr>
          <w:rFonts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1.功能目标</w:t>
      </w:r>
    </w:p>
    <w:tbl>
      <w:tblPr>
        <w:tblStyle w:val="10"/>
        <w:tblW w:w="4972" w:type="pct"/>
        <w:tblInd w:w="0" w:type="dxa"/>
        <w:tblLayout w:type="fixed"/>
        <w:tblCellMar>
          <w:top w:w="0" w:type="dxa"/>
          <w:left w:w="108" w:type="dxa"/>
          <w:bottom w:w="0" w:type="dxa"/>
          <w:right w:w="108" w:type="dxa"/>
        </w:tblCellMar>
      </w:tblPr>
      <w:tblGrid>
        <w:gridCol w:w="437"/>
        <w:gridCol w:w="825"/>
        <w:gridCol w:w="6855"/>
        <w:gridCol w:w="892"/>
      </w:tblGrid>
      <w:tr>
        <w:tblPrEx>
          <w:tblCellMar>
            <w:top w:w="0" w:type="dxa"/>
            <w:left w:w="108" w:type="dxa"/>
            <w:bottom w:w="0" w:type="dxa"/>
            <w:right w:w="108" w:type="dxa"/>
          </w:tblCellMar>
        </w:tblPrEx>
        <w:trPr>
          <w:trHeight w:val="726" w:hRule="atLeast"/>
          <w:tblHeader/>
        </w:trPr>
        <w:tc>
          <w:tcPr>
            <w:tcW w:w="242"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457"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项目名称</w:t>
            </w:r>
          </w:p>
        </w:tc>
        <w:tc>
          <w:tcPr>
            <w:tcW w:w="3804"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需要实现的功能或者目标</w:t>
            </w:r>
          </w:p>
        </w:tc>
        <w:tc>
          <w:tcPr>
            <w:tcW w:w="494"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备注</w:t>
            </w:r>
          </w:p>
        </w:tc>
      </w:tr>
      <w:tr>
        <w:tblPrEx>
          <w:tblCellMar>
            <w:top w:w="0" w:type="dxa"/>
            <w:left w:w="108" w:type="dxa"/>
            <w:bottom w:w="0" w:type="dxa"/>
            <w:right w:w="108" w:type="dxa"/>
          </w:tblCellMar>
        </w:tblPrEx>
        <w:trPr>
          <w:trHeight w:val="3909" w:hRule="atLeast"/>
        </w:trPr>
        <w:tc>
          <w:tcPr>
            <w:tcW w:w="242" w:type="pct"/>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pacing w:line="320" w:lineRule="exact"/>
              <w:ind w:firstLine="420" w:firstLineChars="20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457" w:type="pct"/>
            <w:tcBorders>
              <w:top w:val="single" w:color="auto" w:sz="4" w:space="0"/>
              <w:left w:val="nil"/>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医学虚拟仿真实验教学系统</w:t>
            </w:r>
          </w:p>
        </w:tc>
        <w:tc>
          <w:tcPr>
            <w:tcW w:w="3804" w:type="pct"/>
            <w:tcBorders>
              <w:top w:val="single" w:color="auto" w:sz="4" w:space="0"/>
              <w:left w:val="nil"/>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pacing w:line="320" w:lineRule="exact"/>
              <w:rPr>
                <w:rFonts w:hint="eastAsia" w:ascii="仿宋_GB2312" w:hAnsi="仿宋_GB2312" w:eastAsia="仿宋_GB2312" w:cs="仿宋_GB2312"/>
                <w:b/>
                <w:bCs/>
                <w:szCs w:val="21"/>
              </w:rPr>
            </w:pPr>
            <w:r>
              <w:rPr>
                <w:rFonts w:hint="eastAsia" w:ascii="仿宋_GB2312" w:hAnsi="仿宋_GB2312" w:eastAsia="仿宋_GB2312" w:cs="仿宋_GB2312"/>
                <w:b/>
                <w:bCs/>
                <w:szCs w:val="21"/>
              </w:rPr>
              <w:t>1.</w:t>
            </w:r>
            <w:r>
              <w:rPr>
                <w:rFonts w:hint="eastAsia" w:ascii="仿宋_GB2312" w:hAnsi="仿宋_GB2312" w:eastAsia="仿宋_GB2312" w:cs="仿宋_GB2312"/>
                <w:b/>
                <w:bCs/>
                <w:szCs w:val="21"/>
                <w:lang w:val="en-US" w:eastAsia="zh-CN"/>
              </w:rPr>
              <w:t>总体目标。</w:t>
            </w:r>
            <w:r>
              <w:rPr>
                <w:rFonts w:hint="eastAsia" w:ascii="仿宋_GB2312" w:hAnsi="仿宋_GB2312" w:eastAsia="仿宋_GB2312" w:cs="仿宋_GB2312"/>
                <w:b w:val="0"/>
                <w:bCs w:val="0"/>
                <w:szCs w:val="21"/>
              </w:rPr>
              <w:t>基于大学现有平台所承接的虚拟仿真课程资源少，智能化、信息化实验场所建设不足的情况，对现有平台进行资源升级，补充线上医学虚拟仿真实验教学资源、VR沉浸式虚拟仿真系统课程资源，新建AR增强现实沉浸式虚拟仿真实验教学系统及实验资源。</w:t>
            </w:r>
          </w:p>
          <w:p>
            <w:pPr>
              <w:pBdr>
                <w:top w:val="none" w:color="auto" w:sz="0" w:space="1"/>
                <w:left w:val="none" w:color="auto" w:sz="0" w:space="4"/>
                <w:bottom w:val="none" w:color="auto" w:sz="0" w:space="1"/>
                <w:right w:val="none" w:color="auto" w:sz="0" w:space="4"/>
              </w:pBdr>
              <w:spacing w:line="320" w:lineRule="exact"/>
              <w:rPr>
                <w:rFonts w:hint="eastAsia" w:ascii="仿宋_GB2312" w:hAnsi="仿宋_GB2312" w:eastAsia="仿宋_GB2312" w:cs="仿宋_GB2312"/>
                <w:szCs w:val="21"/>
              </w:rPr>
            </w:pPr>
            <w:r>
              <w:rPr>
                <w:rFonts w:hint="eastAsia" w:ascii="仿宋_GB2312" w:hAnsi="仿宋_GB2312" w:eastAsia="仿宋_GB2312" w:cs="仿宋_GB2312"/>
                <w:b/>
                <w:bCs/>
                <w:szCs w:val="21"/>
                <w:lang w:val="en-US" w:eastAsia="zh-CN"/>
              </w:rPr>
              <w:t>2.教学目标。</w:t>
            </w:r>
            <w:r>
              <w:rPr>
                <w:rFonts w:hint="eastAsia" w:ascii="仿宋_GB2312" w:hAnsi="仿宋_GB2312" w:eastAsia="仿宋_GB2312" w:cs="仿宋_GB2312"/>
                <w:b w:val="0"/>
                <w:bCs w:val="0"/>
                <w:szCs w:val="21"/>
              </w:rPr>
              <w:t>该项目可满足医学免疫学、医学遗传学、组织胚胎学、细胞生物学等基础医学学科的虚拟实验教学需求以及药理学、病理生理学等专业的基础临床综合实验教学需求。形成以基础医学为主的“大基础”实验教学体系和专业性的“大医学”实验教学模式，完善基础医学虚拟仿真实验教学中心平台。</w:t>
            </w:r>
          </w:p>
        </w:tc>
        <w:tc>
          <w:tcPr>
            <w:tcW w:w="494" w:type="pct"/>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仿宋_GB2312" w:hAnsi="仿宋_GB2312" w:eastAsia="仿宋_GB2312" w:cs="仿宋_GB2312"/>
                <w:kern w:val="0"/>
                <w:szCs w:val="21"/>
              </w:rPr>
            </w:pPr>
          </w:p>
        </w:tc>
      </w:tr>
    </w:tbl>
    <w:p>
      <w:pPr>
        <w:pStyle w:val="23"/>
        <w:ind w:firstLine="640"/>
        <w:rPr>
          <w:rFonts w:hint="eastAsia"/>
          <w:sz w:val="32"/>
          <w:szCs w:val="32"/>
        </w:rPr>
      </w:pPr>
    </w:p>
    <w:p>
      <w:pPr>
        <w:overflowPunct w:val="0"/>
        <w:spacing w:line="572"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2.适用标准</w:t>
      </w:r>
    </w:p>
    <w:tbl>
      <w:tblPr>
        <w:tblStyle w:val="10"/>
        <w:tblW w:w="5000" w:type="pct"/>
        <w:tblInd w:w="0" w:type="dxa"/>
        <w:tblLayout w:type="fixed"/>
        <w:tblCellMar>
          <w:top w:w="0" w:type="dxa"/>
          <w:left w:w="108" w:type="dxa"/>
          <w:bottom w:w="0" w:type="dxa"/>
          <w:right w:w="108" w:type="dxa"/>
        </w:tblCellMar>
      </w:tblPr>
      <w:tblGrid>
        <w:gridCol w:w="438"/>
        <w:gridCol w:w="828"/>
        <w:gridCol w:w="959"/>
        <w:gridCol w:w="1385"/>
        <w:gridCol w:w="1187"/>
        <w:gridCol w:w="1790"/>
        <w:gridCol w:w="1718"/>
        <w:gridCol w:w="756"/>
      </w:tblGrid>
      <w:tr>
        <w:tblPrEx>
          <w:tblCellMar>
            <w:top w:w="0" w:type="dxa"/>
            <w:left w:w="108" w:type="dxa"/>
            <w:bottom w:w="0" w:type="dxa"/>
            <w:right w:w="108" w:type="dxa"/>
          </w:tblCellMar>
        </w:tblPrEx>
        <w:trPr>
          <w:trHeight w:val="836" w:hRule="atLeast"/>
          <w:tblHeader/>
        </w:trPr>
        <w:tc>
          <w:tcPr>
            <w:tcW w:w="24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456"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标准号</w:t>
            </w:r>
          </w:p>
        </w:tc>
        <w:tc>
          <w:tcPr>
            <w:tcW w:w="529"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标准</w:t>
            </w:r>
          </w:p>
          <w:p>
            <w:pPr>
              <w:widowControl/>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名称</w:t>
            </w:r>
          </w:p>
        </w:tc>
        <w:tc>
          <w:tcPr>
            <w:tcW w:w="764"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标准级别</w:t>
            </w:r>
          </w:p>
        </w:tc>
        <w:tc>
          <w:tcPr>
            <w:tcW w:w="655"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标准性质</w:t>
            </w:r>
          </w:p>
        </w:tc>
        <w:tc>
          <w:tcPr>
            <w:tcW w:w="987"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适用范围</w:t>
            </w:r>
          </w:p>
        </w:tc>
        <w:tc>
          <w:tcPr>
            <w:tcW w:w="948"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代码含义</w:t>
            </w:r>
          </w:p>
        </w:tc>
        <w:tc>
          <w:tcPr>
            <w:tcW w:w="417"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其他</w:t>
            </w:r>
          </w:p>
        </w:tc>
      </w:tr>
      <w:tr>
        <w:tblPrEx>
          <w:tblCellMar>
            <w:top w:w="0" w:type="dxa"/>
            <w:left w:w="108" w:type="dxa"/>
            <w:bottom w:w="0" w:type="dxa"/>
            <w:right w:w="108" w:type="dxa"/>
          </w:tblCellMar>
        </w:tblPrEx>
        <w:trPr>
          <w:trHeight w:val="2610" w:hRule="atLeast"/>
        </w:trPr>
        <w:tc>
          <w:tcPr>
            <w:tcW w:w="24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456"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GB/T19001-2000 IDT ISO9001</w:t>
            </w:r>
            <w:r>
              <w:rPr>
                <w:rFonts w:hint="eastAsia" w:ascii="仿宋_GB2312" w:hAnsi="仿宋_GB2312" w:eastAsia="仿宋_GB2312" w:cs="仿宋_GB2312"/>
                <w:kern w:val="0"/>
                <w:szCs w:val="21"/>
                <w:lang w:val="en-US" w:eastAsia="zh-CN"/>
              </w:rPr>
              <w:t>:</w:t>
            </w:r>
            <w:r>
              <w:rPr>
                <w:rFonts w:hint="eastAsia" w:ascii="仿宋_GB2312" w:hAnsi="仿宋_GB2312" w:eastAsia="仿宋_GB2312" w:cs="仿宋_GB2312"/>
                <w:kern w:val="0"/>
                <w:szCs w:val="21"/>
              </w:rPr>
              <w:t>2000</w:t>
            </w:r>
          </w:p>
        </w:tc>
        <w:tc>
          <w:tcPr>
            <w:tcW w:w="529"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质量管理体系 要求</w:t>
            </w:r>
          </w:p>
        </w:tc>
        <w:tc>
          <w:tcPr>
            <w:tcW w:w="764"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国家标准☑</w:t>
            </w:r>
          </w:p>
          <w:p>
            <w:pPr>
              <w:widowControl/>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军用标准☐</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行业标准☐</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地方标准及其他标准规范      ☐</w:t>
            </w:r>
          </w:p>
        </w:tc>
        <w:tc>
          <w:tcPr>
            <w:tcW w:w="655"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强制性</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推荐性</w:t>
            </w:r>
            <w:r>
              <w:rPr>
                <w:rFonts w:hint="eastAsia" w:ascii="仿宋_GB2312" w:hAnsi="仿宋_GB2312" w:eastAsia="仿宋_GB2312" w:cs="仿宋_GB2312"/>
                <w:kern w:val="0"/>
                <w:szCs w:val="21"/>
                <w:lang w:eastAsia="zh-CN"/>
              </w:rPr>
              <w:t>☑</w:t>
            </w:r>
          </w:p>
        </w:tc>
        <w:tc>
          <w:tcPr>
            <w:tcW w:w="987" w:type="pct"/>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该标准为下列组织规定了质量管理体系要求：</w:t>
            </w:r>
          </w:p>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a）需要证实其具有稳定提供满足顾客要求及适用法律法规要求的产品和服务的能力；</w:t>
            </w:r>
          </w:p>
          <w:p>
            <w:pPr>
              <w:widowControl/>
              <w:spacing w:line="32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b）通过体系的有效应用，包括体系改进的过程，以及保证符合顾客要求和适用的法律法规要求，旨在增强顾客满意。</w:t>
            </w:r>
          </w:p>
        </w:tc>
        <w:tc>
          <w:tcPr>
            <w:tcW w:w="948" w:type="pct"/>
            <w:tcBorders>
              <w:top w:val="single" w:color="auto" w:sz="4" w:space="0"/>
              <w:left w:val="nil"/>
              <w:bottom w:val="single" w:color="auto" w:sz="4" w:space="0"/>
              <w:right w:val="single" w:color="auto" w:sz="4" w:space="0"/>
            </w:tcBorders>
            <w:noWrap/>
            <w:vAlign w:val="center"/>
          </w:tcPr>
          <w:p>
            <w:pPr>
              <w:widowControl/>
              <w:spacing w:line="320" w:lineRule="exact"/>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编号由国家标准的代号(GB</w:t>
            </w:r>
            <w:r>
              <w:rPr>
                <w:rFonts w:hint="eastAsia" w:ascii="仿宋_GB2312" w:hAnsi="仿宋_GB2312" w:eastAsia="仿宋_GB2312" w:cs="仿宋_GB2312"/>
                <w:kern w:val="0"/>
                <w:szCs w:val="21"/>
                <w:lang w:val="en-US" w:eastAsia="zh-CN"/>
              </w:rPr>
              <w:t>/T</w:t>
            </w:r>
            <w:r>
              <w:rPr>
                <w:rFonts w:hint="eastAsia" w:ascii="仿宋_GB2312" w:hAnsi="仿宋_GB2312" w:eastAsia="仿宋_GB2312" w:cs="仿宋_GB2312"/>
                <w:kern w:val="0"/>
                <w:szCs w:val="21"/>
              </w:rPr>
              <w:t>)+国家标准发布的顺序号(</w:t>
            </w:r>
            <w:r>
              <w:rPr>
                <w:rFonts w:hint="eastAsia" w:ascii="仿宋_GB2312" w:hAnsi="仿宋_GB2312" w:eastAsia="仿宋_GB2312" w:cs="仿宋_GB2312"/>
                <w:kern w:val="0"/>
                <w:szCs w:val="21"/>
                <w:lang w:val="en-US" w:eastAsia="zh-CN"/>
              </w:rPr>
              <w:t>19001</w:t>
            </w:r>
            <w:r>
              <w:rPr>
                <w:rFonts w:hint="eastAsia" w:ascii="仿宋_GB2312" w:hAnsi="仿宋_GB2312" w:eastAsia="仿宋_GB2312" w:cs="仿宋_GB2312"/>
                <w:kern w:val="0"/>
                <w:szCs w:val="21"/>
              </w:rPr>
              <w:t>)+国家标准发布的年号(20</w:t>
            </w:r>
            <w:r>
              <w:rPr>
                <w:rFonts w:hint="eastAsia" w:ascii="仿宋_GB2312" w:hAnsi="仿宋_GB2312" w:eastAsia="仿宋_GB2312" w:cs="仿宋_GB2312"/>
                <w:kern w:val="0"/>
                <w:szCs w:val="21"/>
                <w:lang w:val="en-US" w:eastAsia="zh-CN"/>
              </w:rPr>
              <w:t>00</w:t>
            </w:r>
            <w:r>
              <w:rPr>
                <w:rFonts w:hint="eastAsia" w:ascii="仿宋_GB2312" w:hAnsi="仿宋_GB2312" w:eastAsia="仿宋_GB2312" w:cs="仿宋_GB2312"/>
                <w:kern w:val="0"/>
                <w:szCs w:val="21"/>
              </w:rPr>
              <w:t>)构成。</w:t>
            </w:r>
            <w:r>
              <w:rPr>
                <w:rFonts w:hint="eastAsia" w:ascii="仿宋_GB2312" w:hAnsi="仿宋_GB2312" w:eastAsia="仿宋_GB2312" w:cs="仿宋_GB2312"/>
                <w:kern w:val="0"/>
                <w:szCs w:val="21"/>
                <w:lang w:val="en-US" w:eastAsia="zh-CN"/>
              </w:rPr>
              <w:t>采标ISO9001</w:t>
            </w:r>
          </w:p>
        </w:tc>
        <w:tc>
          <w:tcPr>
            <w:tcW w:w="417" w:type="pct"/>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仿宋_GB2312" w:hAnsi="仿宋_GB2312" w:eastAsia="仿宋_GB2312" w:cs="仿宋_GB2312"/>
                <w:kern w:val="0"/>
                <w:szCs w:val="21"/>
              </w:rPr>
            </w:pPr>
          </w:p>
        </w:tc>
      </w:tr>
    </w:tbl>
    <w:p>
      <w:pPr>
        <w:pStyle w:val="23"/>
        <w:ind w:firstLine="640"/>
        <w:rPr>
          <w:rFonts w:hint="eastAsia"/>
          <w:sz w:val="32"/>
          <w:szCs w:val="32"/>
        </w:rPr>
      </w:pPr>
    </w:p>
    <w:p>
      <w:pPr>
        <w:overflowPunct w:val="0"/>
        <w:spacing w:line="572"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3.技术指标和服务要求</w:t>
      </w:r>
    </w:p>
    <w:p>
      <w:pPr>
        <w:widowControl/>
        <w:spacing w:line="320" w:lineRule="exact"/>
        <w:jc w:val="left"/>
        <w:rPr>
          <w:rFonts w:ascii="仿宋_GB2312" w:hAnsi="仿宋" w:eastAsia="仿宋_GB2312" w:cs="Times New Roman"/>
          <w:b/>
          <w:bCs/>
          <w:sz w:val="32"/>
          <w:szCs w:val="32"/>
        </w:rPr>
      </w:pPr>
    </w:p>
    <w:p>
      <w:pPr>
        <w:overflowPunct w:val="0"/>
        <w:spacing w:line="572" w:lineRule="exact"/>
        <w:ind w:firstLine="420" w:firstLineChars="200"/>
        <w:rPr>
          <w:rFonts w:ascii="仿宋_GB2312" w:hAnsi="仿宋" w:eastAsia="仿宋_GB2312" w:cs="Times New Roman"/>
          <w:sz w:val="32"/>
          <w:szCs w:val="32"/>
        </w:rPr>
      </w:pPr>
      <w:bookmarkStart w:id="0" w:name="_Hlk118554245"/>
      <w:bookmarkStart w:id="1" w:name="_Hlk118554221"/>
      <w:r>
        <w:rPr>
          <w:rFonts w:hint="eastAsia" w:ascii="仿宋_GB2312" w:hAnsi="仿宋_GB2312" w:eastAsia="仿宋_GB2312" w:cs="仿宋_GB2312"/>
          <w:kern w:val="0"/>
          <w:szCs w:val="21"/>
        </w:rPr>
        <w:t>基础</w:t>
      </w:r>
      <w:r>
        <w:rPr>
          <w:rFonts w:hint="eastAsia" w:ascii="仿宋_GB2312" w:hAnsi="仿宋" w:eastAsia="仿宋_GB2312" w:cs="Times New Roman"/>
          <w:sz w:val="32"/>
          <w:szCs w:val="32"/>
        </w:rPr>
        <w:t>医学虚拟仿真实验系统包含三个模块内容：1、线上医学虚拟仿真实验教学资源；2、VR沉浸式虚拟仿真系统课程资源；3、新建AR增强现实沉浸式虚拟仿真实验教学系统课程。</w:t>
      </w:r>
    </w:p>
    <w:p>
      <w:pPr>
        <w:pStyle w:val="23"/>
        <w:ind w:firstLine="653"/>
        <w:rPr>
          <w:b/>
          <w:bCs/>
          <w:sz w:val="32"/>
          <w:szCs w:val="32"/>
        </w:rPr>
      </w:pPr>
      <w:r>
        <w:rPr>
          <w:rFonts w:hint="eastAsia"/>
          <w:b/>
          <w:bCs/>
          <w:sz w:val="32"/>
          <w:szCs w:val="32"/>
        </w:rPr>
        <w:t>3.1线上医学虚拟仿真实验教学资源</w:t>
      </w:r>
    </w:p>
    <w:p>
      <w:pPr>
        <w:pStyle w:val="23"/>
        <w:ind w:firstLine="640"/>
        <w:rPr>
          <w:rFonts w:hAnsi="仿宋"/>
          <w:kern w:val="2"/>
          <w:sz w:val="32"/>
          <w:szCs w:val="32"/>
        </w:rPr>
      </w:pPr>
      <w:r>
        <w:rPr>
          <w:rFonts w:hint="eastAsia"/>
          <w:sz w:val="32"/>
          <w:szCs w:val="32"/>
        </w:rPr>
        <w:t>针对基础医学（生理学、病理学、药理学、生化与分子生物学、神经生物学、医学遗传学、微生物学、寄生虫学、医学免疫学）的九门课程，提供满足不少于45个（每门不少于5个）的仿真实验课程资源。具体技术参数如下：</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634"/>
        <w:gridCol w:w="743"/>
        <w:gridCol w:w="832"/>
        <w:gridCol w:w="1807"/>
        <w:gridCol w:w="3047"/>
        <w:gridCol w:w="912"/>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3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分类</w:t>
            </w:r>
          </w:p>
        </w:tc>
        <w:tc>
          <w:tcPr>
            <w:tcW w:w="41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w:t>
            </w:r>
          </w:p>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w:t>
            </w:r>
          </w:p>
        </w:tc>
        <w:tc>
          <w:tcPr>
            <w:tcW w:w="45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w:t>
            </w:r>
          </w:p>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及以下指标</w:t>
            </w:r>
          </w:p>
        </w:tc>
        <w:tc>
          <w:tcPr>
            <w:tcW w:w="997"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是否作为强制要求及评分因素等</w:t>
            </w:r>
          </w:p>
        </w:tc>
        <w:tc>
          <w:tcPr>
            <w:tcW w:w="168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指标要求</w:t>
            </w:r>
          </w:p>
        </w:tc>
        <w:tc>
          <w:tcPr>
            <w:tcW w:w="50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指标使用说明</w:t>
            </w:r>
          </w:p>
        </w:tc>
        <w:tc>
          <w:tcPr>
            <w:tcW w:w="36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证明方式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50"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线上医学虚拟仿真实验教学资源</w:t>
            </w:r>
          </w:p>
        </w:tc>
        <w:tc>
          <w:tcPr>
            <w:tcW w:w="41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全功能访问与课程设计</w:t>
            </w:r>
          </w:p>
        </w:tc>
        <w:tc>
          <w:tcPr>
            <w:tcW w:w="45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7"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A8"/>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8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支持PC、手机等移动端全功能访问，课件设计符合手机横屏操作要求。课件载入和显示时间小于5秒。</w:t>
            </w:r>
          </w:p>
        </w:tc>
        <w:tc>
          <w:tcPr>
            <w:tcW w:w="50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移动端访问流畅，课件载入和显示时间越短越好</w:t>
            </w:r>
          </w:p>
        </w:tc>
        <w:tc>
          <w:tcPr>
            <w:tcW w:w="36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350"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1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字幕语音解说</w:t>
            </w:r>
          </w:p>
        </w:tc>
        <w:tc>
          <w:tcPr>
            <w:tcW w:w="45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7"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w:char="00A8"/>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8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有字幕语音解说，可以切换关闭。</w:t>
            </w:r>
          </w:p>
        </w:tc>
        <w:tc>
          <w:tcPr>
            <w:tcW w:w="50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功能完整</w:t>
            </w:r>
          </w:p>
        </w:tc>
        <w:tc>
          <w:tcPr>
            <w:tcW w:w="36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350"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1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实验模块在线访</w:t>
            </w:r>
          </w:p>
        </w:tc>
        <w:tc>
          <w:tcPr>
            <w:tcW w:w="45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7"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w:char="00A8"/>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8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实验模块支持在线访问，无需下载客户端</w:t>
            </w:r>
          </w:p>
        </w:tc>
        <w:tc>
          <w:tcPr>
            <w:tcW w:w="50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在线访问界面逻辑清晰，可操作性强</w:t>
            </w:r>
          </w:p>
        </w:tc>
        <w:tc>
          <w:tcPr>
            <w:tcW w:w="36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350"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1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课件</w:t>
            </w:r>
          </w:p>
        </w:tc>
        <w:tc>
          <w:tcPr>
            <w:tcW w:w="45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7"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8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课件每个实验步骤配有演示动画，播放流畅。课件提供高清视频演示，帮助学生完成学习</w:t>
            </w:r>
          </w:p>
        </w:tc>
        <w:tc>
          <w:tcPr>
            <w:tcW w:w="50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提供的功能齐全完整，课件动画加载快速</w:t>
            </w:r>
          </w:p>
        </w:tc>
        <w:tc>
          <w:tcPr>
            <w:tcW w:w="36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350"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1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实验计分和成绩统计</w:t>
            </w:r>
          </w:p>
        </w:tc>
        <w:tc>
          <w:tcPr>
            <w:tcW w:w="45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7"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8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按实验步骤问题计分，完成实验后支持在线查看结果，支持生成PDF格式实验报告。在线学习结果颁发证书功能，可检查学生学习是否通过，学习时间和成绩。</w:t>
            </w:r>
          </w:p>
        </w:tc>
        <w:tc>
          <w:tcPr>
            <w:tcW w:w="50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提供的功能齐全完整，可操作性强</w:t>
            </w:r>
          </w:p>
        </w:tc>
        <w:tc>
          <w:tcPr>
            <w:tcW w:w="36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350"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1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虚拟平台对接</w:t>
            </w:r>
          </w:p>
        </w:tc>
        <w:tc>
          <w:tcPr>
            <w:tcW w:w="45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7"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8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实验模块可无缝对接虚拟平台，课件可记录用户的学习时长，以及最近一次的学习成绩，数据共享，学生完成学习后可导出统计学数据，生成形成性评价。</w:t>
            </w:r>
          </w:p>
        </w:tc>
        <w:tc>
          <w:tcPr>
            <w:tcW w:w="50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要求的功能齐全完整</w:t>
            </w:r>
          </w:p>
        </w:tc>
        <w:tc>
          <w:tcPr>
            <w:tcW w:w="36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350"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1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技术规范</w:t>
            </w:r>
          </w:p>
        </w:tc>
        <w:tc>
          <w:tcPr>
            <w:tcW w:w="45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7"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8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课件技术规范完全符合国际共享参考模型SCORM 1.2的标准格式，符合所有支持scorm平台获取学习成绩和过程记录等功能。</w:t>
            </w:r>
          </w:p>
        </w:tc>
        <w:tc>
          <w:tcPr>
            <w:tcW w:w="50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符合规范要求</w:t>
            </w:r>
          </w:p>
        </w:tc>
        <w:tc>
          <w:tcPr>
            <w:tcW w:w="36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bl>
    <w:p>
      <w:pPr>
        <w:pStyle w:val="23"/>
        <w:ind w:firstLine="640"/>
        <w:rPr>
          <w:sz w:val="32"/>
          <w:szCs w:val="32"/>
        </w:rPr>
      </w:pPr>
      <w:r>
        <w:rPr>
          <w:rFonts w:hint="eastAsia"/>
          <w:sz w:val="32"/>
          <w:szCs w:val="32"/>
        </w:rPr>
        <w:t>线上医学虚拟仿真实验教学资源清单如下表（包含但不限于表中实验项目内容）：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6" w:type="dxa"/>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7748"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名称</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bookmarkStart w:id="2" w:name="_Hlk118554265"/>
            <w:r>
              <w:rPr>
                <w:rFonts w:hint="eastAsia" w:ascii="仿宋_GB2312" w:hAnsi="仿宋_GB2312" w:eastAsia="仿宋_GB2312" w:cs="仿宋_GB2312"/>
                <w:kern w:val="0"/>
                <w:szCs w:val="21"/>
              </w:rPr>
              <w:t>生理学-神经干动作电位的引导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生理学-家兔呼吸运动的调节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生理学-离体心肌细胞内动作电位的记录及分析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生理学-家兔血压调节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5</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生理学-影响尿液生成的因素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6</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病理生理学-家兔高钾血症及治疗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7</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病理生理学-家兔肺水肿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8</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病理生理学-缺氧中血红蛋白性质的定量分析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9</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病理生理学-急性缺氧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10</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病理生理学-急性肾功能衰竭模型制备及检测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11</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药理学-镇痛药的镇痛效果--扭体法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12</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药理学-药物急性毒性实验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13</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药理学-肝肾功能状态对药物血药浓度的影响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14</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药理学-肝肾缺血损伤对家兔全血磺胺嘧啶钠二室模型药物代谢的影响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15</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药理学-苯海拉明的拮抗参数PA2测定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16</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寄生虫-隐孢子虫综合实验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17</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寄生虫-旋毛线虫综合实验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18</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寄生虫-阴道毛滴虫的瑞氏染色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19</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寄生虫-日本血吸虫动物模型的建立与实验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20</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寄生虫-毛蚴孵化法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21</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病原微生物-梅毒螺旋体的实验室检查虚拟仿真实验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22</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病原微生物-结核分枝杆菌的分离与鉴定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23</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病原微生物-流感病毒的分离培养与鉴定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24</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病原微生物-丙型肝炎病毒的定量检测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25</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病原微生物-乙肝病毒DNA定量检测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26</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病原微生物-布鲁氏菌病患者血液中病原分子诊断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27</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遗传学-质粒DNA的提取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28</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遗传学-质粒DNA的酶切鉴定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29</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遗传学-疾病的遗传学研究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30</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遗传学-基因表达概述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31</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遗传学-染色质共沉淀技术检测蛋白-DNA相互作用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32</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遗传学-斑马鱼发育相关基因pnas4时间表达谱构建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33</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细胞生物学-Bradford法测定蛋白质浓度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34</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细胞生物学-流式细胞仪分析细胞周期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35</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细胞生物学-细胞内活性氧荧光值的动态变化参数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36</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细胞生物学-细胞样本的总RNA提取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37</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细胞生物学-用CCK-8试剂盒检测细胞增殖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38</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细胞生物学-醋酸纤维素薄膜电泳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39</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细胞生物学-酶谱法测定MMP-2与MMP-9活性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40</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生化与分子生物学-血细胞计数板计数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41</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生化与分子生物学-BCA法测定蛋白质浓度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42</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生化与分子生物学-实时荧光定量PCR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43</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生化与分子生物学-基于壁细胞培养和菌群高通量测序的消化性溃疡虚拟仿真实验项目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44</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生化与分子生物学-WesternBlot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45</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免疫学-双向免疫扩散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46</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免疫学-细胞免疫检测技术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47</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免疫学-E花环形成实验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48</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免疫学-酶免疫组织化学染色技术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49</w:t>
            </w:r>
          </w:p>
        </w:tc>
        <w:tc>
          <w:tcPr>
            <w:tcW w:w="7748" w:type="dxa"/>
            <w:vAlign w:val="center"/>
          </w:tcPr>
          <w:p>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免疫学-放射性同位素标记抗体技术</w:t>
            </w:r>
          </w:p>
        </w:tc>
      </w:tr>
      <w:bookmarkEnd w:id="1"/>
      <w:bookmarkEnd w:id="2"/>
    </w:tbl>
    <w:p>
      <w:pPr>
        <w:pStyle w:val="23"/>
        <w:ind w:firstLine="0" w:firstLineChars="0"/>
      </w:pPr>
      <w:bookmarkStart w:id="3" w:name="_Hlk118554532"/>
    </w:p>
    <w:p>
      <w:pPr>
        <w:pStyle w:val="23"/>
        <w:ind w:firstLine="653"/>
        <w:rPr>
          <w:b/>
          <w:bCs/>
          <w:sz w:val="32"/>
          <w:szCs w:val="32"/>
        </w:rPr>
      </w:pPr>
      <w:r>
        <w:rPr>
          <w:rFonts w:hint="eastAsia"/>
          <w:b/>
          <w:bCs/>
          <w:sz w:val="32"/>
          <w:szCs w:val="32"/>
        </w:rPr>
        <w:t>3.2 VR沉浸式虚拟仿真系统课程资源</w:t>
      </w:r>
    </w:p>
    <w:p>
      <w:pPr>
        <w:pStyle w:val="23"/>
        <w:ind w:firstLine="640"/>
        <w:rPr>
          <w:sz w:val="32"/>
          <w:szCs w:val="32"/>
        </w:rPr>
      </w:pPr>
      <w:bookmarkStart w:id="4" w:name="_Hlk118554556"/>
      <w:r>
        <w:rPr>
          <w:rFonts w:hint="eastAsia"/>
          <w:sz w:val="32"/>
          <w:szCs w:val="32"/>
        </w:rPr>
        <w:t>针对动物、细胞等实验教学项目，提供不少于3套的V</w:t>
      </w:r>
      <w:r>
        <w:rPr>
          <w:sz w:val="32"/>
          <w:szCs w:val="32"/>
        </w:rPr>
        <w:t>R</w:t>
      </w:r>
      <w:r>
        <w:rPr>
          <w:rFonts w:hint="eastAsia"/>
          <w:sz w:val="32"/>
          <w:szCs w:val="32"/>
        </w:rPr>
        <w:t>虚拟仿真系统实验课程资源（必须包含以下3套实验内容）：</w:t>
      </w:r>
    </w:p>
    <w:p>
      <w:pPr>
        <w:pStyle w:val="23"/>
        <w:ind w:firstLine="640"/>
        <w:rPr>
          <w:sz w:val="32"/>
          <w:szCs w:val="32"/>
        </w:rPr>
      </w:pPr>
      <w:r>
        <w:rPr>
          <w:rFonts w:hint="eastAsia"/>
          <w:sz w:val="32"/>
          <w:szCs w:val="32"/>
        </w:rPr>
        <w:t>3.2.1家兔急性肾功能衰竭虚拟仿真实验</w:t>
      </w:r>
    </w:p>
    <w:p>
      <w:pPr>
        <w:pStyle w:val="23"/>
        <w:ind w:firstLine="640"/>
        <w:rPr>
          <w:sz w:val="32"/>
          <w:szCs w:val="32"/>
        </w:rPr>
      </w:pPr>
      <w:r>
        <w:rPr>
          <w:rFonts w:hint="eastAsia"/>
          <w:sz w:val="32"/>
          <w:szCs w:val="32"/>
        </w:rPr>
        <w:t>仿真实验内容至少包含以下1</w:t>
      </w:r>
      <w:r>
        <w:rPr>
          <w:sz w:val="32"/>
          <w:szCs w:val="32"/>
        </w:rPr>
        <w:t>3</w:t>
      </w:r>
      <w:r>
        <w:rPr>
          <w:rFonts w:hint="eastAsia"/>
          <w:sz w:val="32"/>
          <w:szCs w:val="32"/>
        </w:rPr>
        <w:t>个步骤：进入实验模块；压力换能器准备；记滴器准备；称重；注射麻药（1.5%戊巴比妥钠麻醉）；固定；气管插管；分离神经；动脉插管；静脉输液（颈静脉输液）；股动脉插管；输尿管插管or 膀胱插管；操作评价。</w:t>
      </w:r>
    </w:p>
    <w:p>
      <w:pPr>
        <w:pStyle w:val="23"/>
        <w:ind w:firstLine="640"/>
        <w:rPr>
          <w:sz w:val="32"/>
          <w:szCs w:val="32"/>
        </w:rPr>
      </w:pPr>
      <w:r>
        <w:rPr>
          <w:rFonts w:hint="eastAsia"/>
          <w:sz w:val="32"/>
          <w:szCs w:val="32"/>
        </w:rPr>
        <w:t>3.2.2基于VR技术的家兔肠系膜血管栓塞肠切除吻合虚拟仿真实验</w:t>
      </w:r>
    </w:p>
    <w:p>
      <w:pPr>
        <w:pStyle w:val="23"/>
        <w:ind w:firstLine="640"/>
        <w:rPr>
          <w:sz w:val="32"/>
          <w:szCs w:val="32"/>
        </w:rPr>
      </w:pPr>
      <w:r>
        <w:rPr>
          <w:rFonts w:hint="eastAsia"/>
          <w:sz w:val="32"/>
          <w:szCs w:val="32"/>
        </w:rPr>
        <w:t>仿真实验内容包含以下12个步骤：实验室场景导入；实验家兔的捉拿、称重以及麻醉药物、剂量选择；对家兔进行麻醉；去除家兔腹部毛发；切开家兔腹部皮肤；分离家兔腹部肌肉；切开腹膜，暴露肠管；使用止血钳对家兔肠管肠系膜进行处理；使用肠钳钳夹肠管两边；使用手术刀切开肠管；使用褥式缝合法缝合肠管内壁；缝合肠管外壁，然后检查吻合口是否通畅；将肠管置入腹腔内，关闭腹腔，缝合肌肉及皮肤；操作结束，系统自动生成评价与知识点回顾，教师进行总结。</w:t>
      </w:r>
    </w:p>
    <w:p>
      <w:pPr>
        <w:pStyle w:val="23"/>
        <w:ind w:firstLine="640"/>
        <w:rPr>
          <w:sz w:val="32"/>
          <w:szCs w:val="32"/>
        </w:rPr>
      </w:pPr>
      <w:r>
        <w:rPr>
          <w:rFonts w:hint="eastAsia"/>
          <w:sz w:val="32"/>
          <w:szCs w:val="32"/>
        </w:rPr>
        <w:t>3.2.3细胞内DNA复制过程虚拟仿真实验</w:t>
      </w:r>
    </w:p>
    <w:p>
      <w:pPr>
        <w:pStyle w:val="23"/>
        <w:ind w:firstLine="640"/>
        <w:rPr>
          <w:sz w:val="32"/>
          <w:szCs w:val="32"/>
        </w:rPr>
      </w:pPr>
      <w:r>
        <w:rPr>
          <w:rFonts w:hint="eastAsia"/>
          <w:sz w:val="32"/>
          <w:szCs w:val="32"/>
        </w:rPr>
        <w:t>仿真实验操作包括至少10步操作步骤，包含但不限于：DNA解旋；引物合成；子链延长；引物切除；片段连接等交互性操作。可通过VR虚拟操作触发知识点考核不少于5个且包含解析。</w:t>
      </w:r>
      <w:bookmarkEnd w:id="4"/>
    </w:p>
    <w:p>
      <w:pPr>
        <w:pStyle w:val="23"/>
        <w:ind w:firstLine="640"/>
        <w:rPr>
          <w:sz w:val="32"/>
          <w:szCs w:val="32"/>
        </w:rPr>
      </w:pPr>
      <w:r>
        <w:rPr>
          <w:rFonts w:hint="eastAsia"/>
          <w:sz w:val="32"/>
          <w:szCs w:val="32"/>
        </w:rPr>
        <w:t>3.2.4 VR沉浸式虚拟仿真系统课程资源具体技术参数要求如下：</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640"/>
        <w:gridCol w:w="754"/>
        <w:gridCol w:w="734"/>
        <w:gridCol w:w="1785"/>
        <w:gridCol w:w="3000"/>
        <w:gridCol w:w="89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分类</w:t>
            </w:r>
          </w:p>
        </w:tc>
        <w:tc>
          <w:tcPr>
            <w:tcW w:w="41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w:t>
            </w:r>
          </w:p>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w:t>
            </w:r>
          </w:p>
        </w:tc>
        <w:tc>
          <w:tcPr>
            <w:tcW w:w="40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w:t>
            </w:r>
          </w:p>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w:t>
            </w:r>
          </w:p>
        </w:tc>
        <w:tc>
          <w:tcPr>
            <w:tcW w:w="98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是否作为强制要求及评分因素等</w:t>
            </w:r>
          </w:p>
        </w:tc>
        <w:tc>
          <w:tcPr>
            <w:tcW w:w="165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指标要求</w:t>
            </w:r>
          </w:p>
        </w:tc>
        <w:tc>
          <w:tcPr>
            <w:tcW w:w="49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指标使用说明</w:t>
            </w:r>
          </w:p>
        </w:tc>
        <w:tc>
          <w:tcPr>
            <w:tcW w:w="45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证明方式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VR沉浸式虚拟仿真系统课程资源</w:t>
            </w:r>
          </w:p>
        </w:tc>
        <w:tc>
          <w:tcPr>
            <w:tcW w:w="41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系统架构</w:t>
            </w:r>
          </w:p>
        </w:tc>
        <w:tc>
          <w:tcPr>
            <w:tcW w:w="40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8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52"/>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A8"/>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5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通过htc vive虚拟现实设备，可将操作者投射到虚拟世界，旁观者能够实时观察实验者操作过程，软件可兼容于医学VR互动实验室教学考核网络平台，进行学习进度统计、学习成绩评定、学习成绩统计，实验中有知识点的考察和交互。</w:t>
            </w:r>
          </w:p>
        </w:tc>
        <w:tc>
          <w:tcPr>
            <w:tcW w:w="49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提供的功能齐全完整、可操作性强</w:t>
            </w:r>
          </w:p>
        </w:tc>
        <w:tc>
          <w:tcPr>
            <w:tcW w:w="45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VR沉浸式虚拟仿真系统课程资源</w:t>
            </w:r>
          </w:p>
        </w:tc>
        <w:tc>
          <w:tcPr>
            <w:tcW w:w="41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运营环境</w:t>
            </w:r>
          </w:p>
        </w:tc>
        <w:tc>
          <w:tcPr>
            <w:tcW w:w="40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8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5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支持WIN7及以上等操作系统；HTC VIVE头盔；同时支持3D电视戴眼镜集体学习。</w:t>
            </w:r>
          </w:p>
        </w:tc>
        <w:tc>
          <w:tcPr>
            <w:tcW w:w="49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兼容的常见操作系统和常用设备越多越好</w:t>
            </w:r>
          </w:p>
        </w:tc>
        <w:tc>
          <w:tcPr>
            <w:tcW w:w="45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VR沉浸式虚拟仿真系统课程资源</w:t>
            </w:r>
          </w:p>
        </w:tc>
        <w:tc>
          <w:tcPr>
            <w:tcW w:w="416"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模型动画技术</w:t>
            </w:r>
          </w:p>
        </w:tc>
        <w:tc>
          <w:tcPr>
            <w:tcW w:w="40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模型制作</w:t>
            </w:r>
          </w:p>
        </w:tc>
        <w:tc>
          <w:tcPr>
            <w:tcW w:w="98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5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p>
        </w:tc>
        <w:tc>
          <w:tcPr>
            <w:tcW w:w="49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模型制作符合要求，提供的功能齐全完整</w:t>
            </w:r>
          </w:p>
        </w:tc>
        <w:tc>
          <w:tcPr>
            <w:tcW w:w="45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VR沉浸式虚拟仿真系统课程资源</w:t>
            </w:r>
          </w:p>
        </w:tc>
        <w:tc>
          <w:tcPr>
            <w:tcW w:w="41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0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贴图材质</w:t>
            </w:r>
          </w:p>
        </w:tc>
        <w:tc>
          <w:tcPr>
            <w:tcW w:w="98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5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次方倍数，贴图大小最大不超过1024*1024；同种贴图必须使一个材质球。</w:t>
            </w:r>
          </w:p>
        </w:tc>
        <w:tc>
          <w:tcPr>
            <w:tcW w:w="49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贴图材质和处理符合指标要求，视觉效果要达到最佳</w:t>
            </w:r>
          </w:p>
        </w:tc>
        <w:tc>
          <w:tcPr>
            <w:tcW w:w="45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VR沉浸式虚拟仿真系统课程资源</w:t>
            </w:r>
          </w:p>
        </w:tc>
        <w:tc>
          <w:tcPr>
            <w:tcW w:w="41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0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粒子特效</w:t>
            </w:r>
          </w:p>
        </w:tc>
        <w:tc>
          <w:tcPr>
            <w:tcW w:w="98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5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能根据环境情况自动的发生变化，例如：水、烟雾、太阳光晕等环境效果，更加真实的模拟现实环境的效果。</w:t>
            </w:r>
          </w:p>
        </w:tc>
        <w:tc>
          <w:tcPr>
            <w:tcW w:w="49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提供的功能齐全完整、特效还原度高</w:t>
            </w:r>
          </w:p>
        </w:tc>
        <w:tc>
          <w:tcPr>
            <w:tcW w:w="45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VR沉浸式虚拟仿真系统课程资源</w:t>
            </w:r>
          </w:p>
        </w:tc>
        <w:tc>
          <w:tcPr>
            <w:tcW w:w="41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0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场景制作</w:t>
            </w:r>
          </w:p>
        </w:tc>
        <w:tc>
          <w:tcPr>
            <w:tcW w:w="98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5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无分辨率限制，能够支持1920*1200以上分辨率的三维视景，1:1实物大小显示，可对场景模型进行实时顶点优化和动态加载LOD设置调整，根据视觉效果调整优化比例，减少数据量，提高运行效率，帧速率25帧以上；</w:t>
            </w:r>
          </w:p>
        </w:tc>
        <w:tc>
          <w:tcPr>
            <w:tcW w:w="49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视觉效果越强越好</w:t>
            </w:r>
          </w:p>
        </w:tc>
        <w:tc>
          <w:tcPr>
            <w:tcW w:w="45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VR沉浸式虚拟仿真系统课程资源</w:t>
            </w:r>
          </w:p>
        </w:tc>
        <w:tc>
          <w:tcPr>
            <w:tcW w:w="41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0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场景布置</w:t>
            </w:r>
          </w:p>
        </w:tc>
        <w:tc>
          <w:tcPr>
            <w:tcW w:w="98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5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基本物件在制作过程中严禁有缩放，有旋转的物体应保留旋转信息，不要镜像物体；整体场景及效果：紧紧围绕现实中的真实环境进行场景建设，真实的反应身临其境的效果；</w:t>
            </w:r>
          </w:p>
        </w:tc>
        <w:tc>
          <w:tcPr>
            <w:tcW w:w="49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提供的功能齐全完整，场景建设真实感越强越好</w:t>
            </w:r>
          </w:p>
        </w:tc>
        <w:tc>
          <w:tcPr>
            <w:tcW w:w="45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VR沉浸式虚拟仿真系统课程资源</w:t>
            </w:r>
          </w:p>
        </w:tc>
        <w:tc>
          <w:tcPr>
            <w:tcW w:w="41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0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声音</w:t>
            </w:r>
          </w:p>
        </w:tc>
        <w:tc>
          <w:tcPr>
            <w:tcW w:w="98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5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场景音效、声音解说要求制作逼真，采用专业的普通话进行配音；</w:t>
            </w:r>
          </w:p>
        </w:tc>
        <w:tc>
          <w:tcPr>
            <w:tcW w:w="49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声音越逼真越好</w:t>
            </w:r>
          </w:p>
        </w:tc>
        <w:tc>
          <w:tcPr>
            <w:tcW w:w="45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VR沉浸式虚拟仿真系统课程资源</w:t>
            </w:r>
          </w:p>
        </w:tc>
        <w:tc>
          <w:tcPr>
            <w:tcW w:w="41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0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视频</w:t>
            </w:r>
          </w:p>
        </w:tc>
        <w:tc>
          <w:tcPr>
            <w:tcW w:w="98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655"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在场景对象上可嵌入外部视频文件，视频文件格式支持不少于AVI、WMV格式。要实现视频流的预读取功能，以保证视频播放流畅；</w:t>
            </w:r>
          </w:p>
        </w:tc>
        <w:tc>
          <w:tcPr>
            <w:tcW w:w="49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提供的功能齐全完整，支持的视频格式越多越好</w:t>
            </w:r>
          </w:p>
        </w:tc>
        <w:tc>
          <w:tcPr>
            <w:tcW w:w="45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bl>
    <w:p>
      <w:pPr>
        <w:pStyle w:val="23"/>
      </w:pPr>
    </w:p>
    <w:p>
      <w:pPr>
        <w:pStyle w:val="23"/>
        <w:ind w:firstLine="653"/>
        <w:rPr>
          <w:b/>
          <w:bCs/>
          <w:sz w:val="32"/>
          <w:szCs w:val="32"/>
        </w:rPr>
      </w:pPr>
      <w:r>
        <w:rPr>
          <w:rFonts w:hint="eastAsia"/>
          <w:b/>
          <w:bCs/>
          <w:sz w:val="32"/>
          <w:szCs w:val="32"/>
        </w:rPr>
        <w:t>3.3 AR增强现实沉浸式虚拟仿真实验教学系统课程</w:t>
      </w:r>
    </w:p>
    <w:p>
      <w:pPr>
        <w:pStyle w:val="23"/>
        <w:ind w:firstLine="640"/>
        <w:rPr>
          <w:sz w:val="32"/>
          <w:szCs w:val="32"/>
        </w:rPr>
      </w:pPr>
      <w:r>
        <w:rPr>
          <w:rFonts w:hint="eastAsia"/>
          <w:sz w:val="32"/>
          <w:szCs w:val="32"/>
        </w:rPr>
        <w:t>3.3.1硬件设备</w:t>
      </w:r>
    </w:p>
    <w:p>
      <w:pPr>
        <w:pStyle w:val="23"/>
        <w:ind w:firstLine="640"/>
        <w:rPr>
          <w:sz w:val="32"/>
          <w:szCs w:val="32"/>
        </w:rPr>
      </w:pPr>
      <w:r>
        <w:rPr>
          <w:rFonts w:hint="eastAsia"/>
          <w:sz w:val="32"/>
          <w:szCs w:val="32"/>
        </w:rPr>
        <w:t>包括教师端AR头显1台，AR-MR拍摄套件1套，教师示教AR增强现实电脑1台，86寸互动显示大屏2台，音视频集成讲台1套，示教病床1台，AR学员训练端10套。具体技术参数如下：</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741"/>
        <w:gridCol w:w="741"/>
        <w:gridCol w:w="710"/>
        <w:gridCol w:w="1823"/>
        <w:gridCol w:w="2421"/>
        <w:gridCol w:w="95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分类</w:t>
            </w:r>
          </w:p>
        </w:tc>
        <w:tc>
          <w:tcPr>
            <w:tcW w:w="417"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w:t>
            </w:r>
          </w:p>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w:t>
            </w: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w:t>
            </w:r>
          </w:p>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三级及以下指标</w:t>
            </w:r>
          </w:p>
        </w:tc>
        <w:tc>
          <w:tcPr>
            <w:tcW w:w="10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是否作为强制要求及评分因素等</w:t>
            </w:r>
          </w:p>
        </w:tc>
        <w:tc>
          <w:tcPr>
            <w:tcW w:w="12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指标要求</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指标使用说明</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证明方式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AR增强现实头显</w:t>
            </w: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头显数量</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52"/>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A8"/>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AR增强现实头显×11</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教师端头显1台，学生端头显10台</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光学系统</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衍射光栅波导；视场角≥52°对角线视场角，水平视场角≥43°，垂直视场角≥29°；</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根据产品公开参数指标为准</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查看厂商产品声明文件或者产品说明书（规格书）或者公开发布的宣传彩页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分辨率、环境跟踪系统、眼动跟踪系统、深度跟踪系统</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FE"/>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分辨率≥2K；环境跟踪系统≥3个可见光摄像头；眼动跟踪系统≥2台红外摄像机；深度跟踪系统≥100万像素飞行时间传感器；</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要求的规格越高越好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手势跟踪</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双手全关节跟踪；语音识别：语音交互；眼动跟踪：实时眼动跟踪；IMU：加速度计，陀螺仪，磁力传感器；</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要求的功能和设备齐全完整</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前置相机</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前置相机≥600万像素，输出≥1080p视频；</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像素和视频清晰度越高越好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空间定位和空间映射</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空间定位：≥6自由度跟踪；空间映射：实时空间网格重建；</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空间定位准确，空间网格实时重建</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CPU、HPU、内存性能</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FE"/>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CPU≥2.0+1.55GHz；HPU全息处理单元≥第二代；内存≥4G，存储空间≥32G</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要求的性能越高越好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417"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AR-MR拍摄设备</w:t>
            </w: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内存性能</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内存≥4GB，存储容量≥64GB；芯片：8核中央处理器，具有4个性能核心和4个能效核心；8核图形处理器,16核神经网络引擎</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要求的性能越高越好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传感器</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激光雷达扫描仪,三轴陀螺仪,加速感应器,气压计,环境光传感器；</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传感器配置符合要求</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摄像头和麦克风</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后置摄像头≥1000W，前置摄像头≥1000W；麦克风≥3个麦克风，扬声器数量≥2个；</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至少满足要求的最低条件</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屏幕类型</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视网膜显示屏；</w:t>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分辨率≥2388×1668px,264ppi。</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至少满足要求的最低条件</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417"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教师示教AR增强现实电脑</w:t>
            </w: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内存和显卡性能</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FE"/>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CPU≥3.1GHz；</w:t>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独立显存≥8G；内存≥8GB DDR4；硬盘容量≥1TB；≥256G SSD；</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显示屏</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FE"/>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显示屏≥24英寸，分辨率≥1920x1080，刷新率≥60Hz；电源功率≥180W</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至少满足要求的最低条件</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无线路由器</w:t>
            </w: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技术指标</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2.4G MIMO技术/5G MIMO技术：4x4 MIMO；</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满足技术指标要求</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功能要求</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LAN和WLAN</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LAN输出口速率≥1000Mbps，LAN口数量≥3；WAN接入口速率≥1000Mbps；</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速率越快越好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无线速率≥4000M；处理器核数：双核,支持160MHz频宽,MU-MIMO+双频4T4R；</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外置高性能独立信号放大器</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≥6颗，提升WIFI发射动能，同时提升弱信号接受能力，增强中远距离传输效率。</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满足指标要求</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一体化互动显示大屏</w:t>
            </w: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显示屏</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整机采用≥86英寸UHD超高清LED液晶屏，显示比例16:9，分辨率3840×2160；整机钢化玻璃硬度≥9H；</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显示屏规格越高越好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兼容要求</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嵌入式系统版本</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不低于Android 11，内存≥2GB，存储空间≥8GB；</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兼容性越高越好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内置电脑</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CPU≥2.4GHz；内存≥8GB DDR4，硬盘≥256GB SSD；OPS电脑模块和整机的连接采用万兆级接口，传输速率≥10Gbps；采用按压式卡扣，无需工具就可快速拆卸电脑模块。</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集成式移动推车</w:t>
            </w: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产品尺寸</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≥580×600×1010 mm（长×宽×高）</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可放置按压模拟人、AR增强现实头显等配件，可供1-2人进行实验操作或观摩学习</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查看厂商产品声明文件或者产品说明书（规格书）或者公开发布的宣传彩页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接口</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外部接口≧2个USB接口，1个网线接口，1个HDMI接口，4个220V电源插口；</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接口数满足最低要求</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查看厂商产品声明文件或者产品说明书（规格书）或者公开发布的宣传彩页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附件收纳方式</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采用平台下方柜门设计；设备稳固方式：可调支脚；</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保证实验平台平稳固定</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查看厂商产品声明文件或者产品说明书（规格书）或者公开发布的宣传彩页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处理器≥3.60GHz，硬盘≥512G SSD 高速固态硬盘，内存≥8G DDR4 高频内存</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屏幕</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≥24英寸高清大屏</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屏幕尺寸至少满足最低要求</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查看厂商产品声明文件或者产品说明书（规格书）或者公开发布的宣传彩页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417"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无线网络套装</w:t>
            </w: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服务器</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FE"/>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CPU主频1.7Ghz，核心数量8核，CPU数2个；内存24G DDR4，频率2400Mhz；硬盘1T，固态硬盘512G；网卡带宽1000Mbps，网卡数量2个。</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服务器性能越高越好</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27</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性能要求</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交换机</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上行端口速率1000Mbps，下行端口速率1000Mbps，端口数量48口。</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满足指标要求</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28</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控制器</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控制单位10个AP， 接口5*GE，功能模块：路由、防火墙、无线AC。</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满足指标要求</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高密AP</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发射功率20dBm， 接口包括但不限于1GE+1IOT，支持模式802.11ac Wave2</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满足指标要求</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23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产品规格</w:t>
            </w:r>
          </w:p>
        </w:tc>
        <w:tc>
          <w:tcPr>
            <w:tcW w:w="417"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36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机柜</w:t>
            </w:r>
          </w:p>
        </w:tc>
        <w:tc>
          <w:tcPr>
            <w:tcW w:w="428"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28"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9"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容量32U，宽600mm、深1000mm、高1610mm；带PDU。</w:t>
            </w:r>
          </w:p>
        </w:tc>
        <w:tc>
          <w:tcPr>
            <w:tcW w:w="54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满足指标要求</w:t>
            </w:r>
          </w:p>
        </w:tc>
        <w:tc>
          <w:tcPr>
            <w:tcW w:w="469"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bl>
    <w:p>
      <w:pPr>
        <w:pStyle w:val="23"/>
        <w:ind w:firstLine="640"/>
        <w:rPr>
          <w:sz w:val="32"/>
          <w:szCs w:val="32"/>
        </w:rPr>
      </w:pPr>
    </w:p>
    <w:p>
      <w:pPr>
        <w:pStyle w:val="23"/>
        <w:ind w:firstLine="640"/>
        <w:rPr>
          <w:sz w:val="32"/>
          <w:szCs w:val="32"/>
        </w:rPr>
      </w:pPr>
      <w:r>
        <w:rPr>
          <w:rFonts w:hint="eastAsia"/>
          <w:sz w:val="32"/>
          <w:szCs w:val="32"/>
        </w:rPr>
        <w:t>3.3.2实验资源</w:t>
      </w:r>
    </w:p>
    <w:p>
      <w:pPr>
        <w:pStyle w:val="23"/>
        <w:ind w:firstLine="640"/>
        <w:rPr>
          <w:rFonts w:hint="eastAsia"/>
          <w:sz w:val="32"/>
          <w:szCs w:val="32"/>
        </w:rPr>
      </w:pPr>
      <w:r>
        <w:rPr>
          <w:rFonts w:hint="eastAsia"/>
          <w:sz w:val="32"/>
          <w:szCs w:val="32"/>
        </w:rPr>
        <w:t>3.3.2.1脑基底核解剖与功能虚拟仿真实验1套：包括但不限于基底核的构成、基底核各核的特点、基底核的纤维联系、基底核的环路、基底核的功能；沉浸式观察帕金森病的症状和电刺激治疗完毕后的效果；扫描并重建实体脑及内部结构、自有移除、调取、重新组合任何区域等。具体技术参数如下：</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640"/>
        <w:gridCol w:w="752"/>
        <w:gridCol w:w="1359"/>
        <w:gridCol w:w="1869"/>
        <w:gridCol w:w="2289"/>
        <w:gridCol w:w="894"/>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分类</w:t>
            </w:r>
          </w:p>
        </w:tc>
        <w:tc>
          <w:tcPr>
            <w:tcW w:w="41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w:t>
            </w:r>
          </w:p>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w:t>
            </w: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w:t>
            </w:r>
          </w:p>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指标及以下指标</w:t>
            </w:r>
          </w:p>
        </w:tc>
        <w:tc>
          <w:tcPr>
            <w:tcW w:w="103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是否作为强制要求及评分因素等</w:t>
            </w:r>
          </w:p>
        </w:tc>
        <w:tc>
          <w:tcPr>
            <w:tcW w:w="126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指标要求</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指标使用说明</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证明方式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脑基底核解剖与功能虚拟仿真实验</w:t>
            </w:r>
          </w:p>
        </w:tc>
        <w:tc>
          <w:tcPr>
            <w:tcW w:w="41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3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A8"/>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要求能够扫描并重建实体脑及内部结构，之后动态呈现人体颅脑结构，可用不同的颜色动态显示不同的区域，可移除任何区域，可调取任何区域，并重新组合；对包括但不限于额叶、顶叶、颞叶等颅脑各部的动态展示；对大脑半球上外侧面、内侧面结构动态展示；能够展示去除脑皮质及纤维，显示基底核的解剖划分及各个核团的具体位置和空间关系；显示基底核的临床划分，包括但不限于纹状体、苍白球；显示基底核的各核的特点，包括但不限于纹状体、苍白球；显示基底核各核团间主要的纤维联系及其传递特性，设计1种以上神经递质的神经传递。设计并动态显示基底核各核团神经元活性增强和降低的状态；显示神经通路调节后正常的机能状态，以及某核团病变后异常的症状。</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提供的功能齐全完整，呈现效果达到要求</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脑基底核解剖与功能虚拟仿真实验</w:t>
            </w:r>
          </w:p>
        </w:tc>
        <w:tc>
          <w:tcPr>
            <w:tcW w:w="415"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模型动画技术</w:t>
            </w: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模型制作</w:t>
            </w:r>
          </w:p>
        </w:tc>
        <w:tc>
          <w:tcPr>
            <w:tcW w:w="103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模型制作符合要求，提供的功能齐全完整</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脑基底核解剖与功能虚拟仿真实验</w:t>
            </w:r>
          </w:p>
        </w:tc>
        <w:tc>
          <w:tcPr>
            <w:tcW w:w="415"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贴图材质</w:t>
            </w:r>
          </w:p>
        </w:tc>
        <w:tc>
          <w:tcPr>
            <w:tcW w:w="103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1.次方倍数，贴图大小最大不超过1024×1024；同种贴图必须使一个材质球。</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贴图材质和处理符合指标要求，视觉效果要达到最佳</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脑基底核解剖与功能虚拟仿真实验</w:t>
            </w:r>
          </w:p>
        </w:tc>
        <w:tc>
          <w:tcPr>
            <w:tcW w:w="415"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粒子特效</w:t>
            </w:r>
          </w:p>
        </w:tc>
        <w:tc>
          <w:tcPr>
            <w:tcW w:w="103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能根据环境情况自动的发生变化，例如：水、烟雾、太阳光晕等环境效果，更加真实的模拟现实环境的效果。</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提供的功能齐全完整、特效还原度高</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脑基底核解剖与功能虚拟仿真实验</w:t>
            </w:r>
          </w:p>
        </w:tc>
        <w:tc>
          <w:tcPr>
            <w:tcW w:w="415"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场景制作</w:t>
            </w:r>
          </w:p>
        </w:tc>
        <w:tc>
          <w:tcPr>
            <w:tcW w:w="103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无分辨率限制，能够支持1920×1200以上分辨率的三维视景，1：1实物大小显示，可对场景模型进行实时顶点优化和动态加载LOD设置调整，根据视觉效果调整优化比例，减少数据量，提高运行效率，帧速率25帧以上；</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视觉效果越强越好</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脑基底核解剖与功能虚拟仿真实验</w:t>
            </w:r>
          </w:p>
        </w:tc>
        <w:tc>
          <w:tcPr>
            <w:tcW w:w="415"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场景布置</w:t>
            </w:r>
          </w:p>
        </w:tc>
        <w:tc>
          <w:tcPr>
            <w:tcW w:w="103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基本物件在制作过程中严禁有缩放，有旋转的物体应保留旋转信息，不要镜像物体；整体场景及效果：紧紧围绕现实中的真实环境进行场景建设，真实的反应身临其境的效果。</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提供的功能齐全完整，场景建设真实感越强越好</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脑基底核解剖与功能虚拟仿真实验</w:t>
            </w:r>
          </w:p>
        </w:tc>
        <w:tc>
          <w:tcPr>
            <w:tcW w:w="415"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声音</w:t>
            </w:r>
          </w:p>
        </w:tc>
        <w:tc>
          <w:tcPr>
            <w:tcW w:w="103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52"/>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A8"/>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场景音效、声音解说要求制作逼真，采用专业的普通话进行配音；</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声音越逼真越好</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脑基底核解剖与功能虚拟仿真实验</w:t>
            </w:r>
          </w:p>
        </w:tc>
        <w:tc>
          <w:tcPr>
            <w:tcW w:w="415"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视频</w:t>
            </w:r>
          </w:p>
        </w:tc>
        <w:tc>
          <w:tcPr>
            <w:tcW w:w="103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在场景对象上可嵌入外部视频文件，视频文件格式支持不少于AVI、WMV格式。要实现视频流的预读取功能，以保证视频播放流畅；</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提供的功能齐全完整，支持的视频格式越多越好</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脑基底核解剖与功能虚拟仿真实验</w:t>
            </w:r>
          </w:p>
        </w:tc>
        <w:tc>
          <w:tcPr>
            <w:tcW w:w="415"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UI</w:t>
            </w:r>
          </w:p>
        </w:tc>
        <w:tc>
          <w:tcPr>
            <w:tcW w:w="103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系统内嵌提醒帮助机制，在各个子界面中，采用场景对象方式，设计文本提示框等信息，系统设置帮助文档，浮动帮助文字。以3D形式进行场景展示时要求过程流畅，平滑连续，响应及时。可以自由拖拽场景中各种物体，仪器，与需要交互的物体之间展开交互，同时也可以点击关键部位查看提示信息。</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UI界面设计合理，满足虚拟仿真实验管理和操作的需要，界面风格统一</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35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脑基底核解剖与功能虚拟仿真实验</w:t>
            </w:r>
          </w:p>
        </w:tc>
        <w:tc>
          <w:tcPr>
            <w:tcW w:w="415"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交互式开发技术</w:t>
            </w:r>
          </w:p>
        </w:tc>
        <w:tc>
          <w:tcPr>
            <w:tcW w:w="75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31"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26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用主流虚拟引擎工具制作，如Unity3d（版本至少5.x或以上）。提供第一人称控制方式。在场景中可以通过操作手势或语音命令进行控制或切换。场景的各种控制方式采用头盔来控制，移动、旋转要符合逻辑且运行流畅。采用三维虚拟现实技术并结合力反馈技术实现虚实结合的教学效果，将传统模拟人无法展现的一些内部器官，通过混合现实模拟技术能够完全将身体内部的动态运动过程通过三维透视和剖视以任何角度实时的表达出来。实训过程能够模拟完成设定的实训任务，可自由操作控制虚拟模型，具有多参数可调、非线性实时操作特性，具有内容的自主可选择性，在适配AR头显上能够流畅运行。学习模式有考核记录功能，包括了三维交互考核和理论试题考核。</w:t>
            </w:r>
          </w:p>
        </w:tc>
        <w:tc>
          <w:tcPr>
            <w:tcW w:w="49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提供的功能齐全完整、交互性强</w:t>
            </w:r>
          </w:p>
        </w:tc>
        <w:tc>
          <w:tcPr>
            <w:tcW w:w="45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bl>
    <w:p>
      <w:pPr>
        <w:pStyle w:val="23"/>
        <w:ind w:firstLine="640"/>
        <w:rPr>
          <w:sz w:val="32"/>
          <w:szCs w:val="32"/>
        </w:rPr>
      </w:pPr>
      <w:r>
        <w:rPr>
          <w:rFonts w:hint="eastAsia"/>
          <w:sz w:val="32"/>
          <w:szCs w:val="32"/>
        </w:rPr>
        <w:t>3.3.2.2 基于AR技术的脑外伤基础与临床整合式虚拟仿真实验（定制开发）1套：包括但不限于脑外伤发生的场景、过程；脑外伤发生后脑部形态学、病理生理学改变的基础医学内容；伤员临床表现、生命体征数值、病史资料、体格检查、影像学检查等临床诊断学内容等。具体技术参数要求如下：</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733"/>
        <w:gridCol w:w="977"/>
        <w:gridCol w:w="1888"/>
        <w:gridCol w:w="2539"/>
        <w:gridCol w:w="100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34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分类</w:t>
            </w:r>
          </w:p>
        </w:tc>
        <w:tc>
          <w:tcPr>
            <w:tcW w:w="40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w:t>
            </w:r>
          </w:p>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w:t>
            </w:r>
          </w:p>
        </w:tc>
        <w:tc>
          <w:tcPr>
            <w:tcW w:w="54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w:t>
            </w:r>
          </w:p>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w:t>
            </w:r>
          </w:p>
        </w:tc>
        <w:tc>
          <w:tcPr>
            <w:tcW w:w="104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是否作为强制要求及评分因素等</w:t>
            </w:r>
          </w:p>
        </w:tc>
        <w:tc>
          <w:tcPr>
            <w:tcW w:w="1402"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指标要求</w:t>
            </w:r>
          </w:p>
        </w:tc>
        <w:tc>
          <w:tcPr>
            <w:tcW w:w="55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指标使用说明</w:t>
            </w:r>
          </w:p>
        </w:tc>
        <w:tc>
          <w:tcPr>
            <w:tcW w:w="47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证明方式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基于AR技术的脑外伤基础与临床整合式虚拟仿真实验（定制开发）</w:t>
            </w:r>
          </w:p>
        </w:tc>
        <w:tc>
          <w:tcPr>
            <w:tcW w:w="40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4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04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52"/>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A8"/>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402"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要求能够沉浸式模拟观察伤员表情、皮肤表现、外伤情况等表现，能够展示出伤员眼部水肿、意识模糊、外伤及出血表现；能够查看脑外伤时脑部循环表现，包括缺血性缺氧期、淤血性缺氧期、微循环衰竭期时微循环表现，设计3种以上微循环中解剖结构的呈现；能够以解剖形式展示脑外伤后，脑部的形态学改变，以动态方式呈现神经传导受损情况等机能学改变；能够呈现临床检验检查、辅助检查的资料，问诊、听诊、视诊等诊断和评估内容，结合基础医学内容制定治疗方案。</w:t>
            </w:r>
          </w:p>
        </w:tc>
        <w:tc>
          <w:tcPr>
            <w:tcW w:w="55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提供的功能齐全完整、呈现效果符合要求</w:t>
            </w:r>
          </w:p>
        </w:tc>
        <w:tc>
          <w:tcPr>
            <w:tcW w:w="47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34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基于AR技术的脑外伤基础与临床整合式虚拟仿真实验（定制开发）</w:t>
            </w:r>
          </w:p>
        </w:tc>
        <w:tc>
          <w:tcPr>
            <w:tcW w:w="406" w:type="pct"/>
            <w:vMerge w:val="restar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模型动画技术</w:t>
            </w:r>
          </w:p>
        </w:tc>
        <w:tc>
          <w:tcPr>
            <w:tcW w:w="54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模型制作</w:t>
            </w:r>
          </w:p>
        </w:tc>
        <w:tc>
          <w:tcPr>
            <w:tcW w:w="104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402"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p>
        </w:tc>
        <w:tc>
          <w:tcPr>
            <w:tcW w:w="55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模型制作符合要求，提供的功能齐全完整</w:t>
            </w:r>
          </w:p>
        </w:tc>
        <w:tc>
          <w:tcPr>
            <w:tcW w:w="47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34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基于AR技术的脑外伤基础与临床整合式虚拟仿真实验（定制开发）</w:t>
            </w:r>
          </w:p>
        </w:tc>
        <w:tc>
          <w:tcPr>
            <w:tcW w:w="40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54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贴图材质</w:t>
            </w:r>
          </w:p>
        </w:tc>
        <w:tc>
          <w:tcPr>
            <w:tcW w:w="104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402"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1.次方倍数，贴图大小最大不超过1024×1024；同种贴图必须使一个材质球。</w:t>
            </w:r>
          </w:p>
        </w:tc>
        <w:tc>
          <w:tcPr>
            <w:tcW w:w="55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贴图材质和处理符合指标要求，视觉效果要达到最佳</w:t>
            </w:r>
          </w:p>
        </w:tc>
        <w:tc>
          <w:tcPr>
            <w:tcW w:w="47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3" w:hRule="atLeast"/>
        </w:trPr>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34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基于AR技术的脑外伤基础与临床整合式虚拟仿真实验（定制开发）</w:t>
            </w:r>
          </w:p>
        </w:tc>
        <w:tc>
          <w:tcPr>
            <w:tcW w:w="40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54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粒子特效</w:t>
            </w:r>
          </w:p>
        </w:tc>
        <w:tc>
          <w:tcPr>
            <w:tcW w:w="104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402"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能根据环境情况自动的发生变化，例如：水、烟雾、太阳光晕等环境效果，更加真实的模拟现实环境的效果。</w:t>
            </w:r>
          </w:p>
        </w:tc>
        <w:tc>
          <w:tcPr>
            <w:tcW w:w="55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提供的功能齐全完整、特效还原度高</w:t>
            </w:r>
          </w:p>
        </w:tc>
        <w:tc>
          <w:tcPr>
            <w:tcW w:w="47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34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基于AR技术的脑外伤基础与临床整合式虚拟仿真实验（定制开发）</w:t>
            </w:r>
          </w:p>
        </w:tc>
        <w:tc>
          <w:tcPr>
            <w:tcW w:w="40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54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场景制作</w:t>
            </w:r>
          </w:p>
        </w:tc>
        <w:tc>
          <w:tcPr>
            <w:tcW w:w="104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402"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无分辨率限制，能够支持1920×1200以上分辨率的三维视景，1：1实物大小显示，可对场景模型进行实时顶点优化和动态加载LOD设置调整，根据视觉效果调整优化比例，减少数据量，提高运行效率，帧速率25帧以上；</w:t>
            </w:r>
          </w:p>
        </w:tc>
        <w:tc>
          <w:tcPr>
            <w:tcW w:w="55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视觉效果越强越好</w:t>
            </w:r>
          </w:p>
        </w:tc>
        <w:tc>
          <w:tcPr>
            <w:tcW w:w="47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34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基于AR技术的脑外伤基础与临床整合式虚拟仿真实验（定制开发）</w:t>
            </w:r>
          </w:p>
        </w:tc>
        <w:tc>
          <w:tcPr>
            <w:tcW w:w="40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54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场景布置</w:t>
            </w:r>
          </w:p>
        </w:tc>
        <w:tc>
          <w:tcPr>
            <w:tcW w:w="104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402"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基本物件在制作过程中严禁有缩放，有旋转的物体应保留旋转信息，不要镜像物体；整体场景及效果：紧紧围绕现实中的真实环境进行场景建设，真实的反应身临其境的效果。</w:t>
            </w:r>
          </w:p>
        </w:tc>
        <w:tc>
          <w:tcPr>
            <w:tcW w:w="55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提供的功能齐全完整，场景建设真实感越强越好</w:t>
            </w:r>
          </w:p>
        </w:tc>
        <w:tc>
          <w:tcPr>
            <w:tcW w:w="47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34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基于AR技术的脑外伤基础与临床整合式虚拟仿真实验（定制开发）</w:t>
            </w:r>
          </w:p>
        </w:tc>
        <w:tc>
          <w:tcPr>
            <w:tcW w:w="40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54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声音</w:t>
            </w:r>
          </w:p>
        </w:tc>
        <w:tc>
          <w:tcPr>
            <w:tcW w:w="104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402"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场景音效、声音解说要求制作逼真，采用专业的普通话进行配音；</w:t>
            </w:r>
          </w:p>
        </w:tc>
        <w:tc>
          <w:tcPr>
            <w:tcW w:w="55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声音越逼真越好</w:t>
            </w:r>
          </w:p>
        </w:tc>
        <w:tc>
          <w:tcPr>
            <w:tcW w:w="47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34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基于AR技术的脑外伤基础与临床整合式虚拟仿真实验（定制开发）</w:t>
            </w:r>
          </w:p>
        </w:tc>
        <w:tc>
          <w:tcPr>
            <w:tcW w:w="40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54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视频</w:t>
            </w:r>
          </w:p>
        </w:tc>
        <w:tc>
          <w:tcPr>
            <w:tcW w:w="104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402"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在场景对象上可嵌入外部视频文件，视频文件格式支持不少于AVI、WMV格式。要实现视频流的预读取功能，以保证视频播放流畅；</w:t>
            </w:r>
          </w:p>
        </w:tc>
        <w:tc>
          <w:tcPr>
            <w:tcW w:w="55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提供的功能齐全完整，支持的视频格式越多越好</w:t>
            </w:r>
          </w:p>
        </w:tc>
        <w:tc>
          <w:tcPr>
            <w:tcW w:w="47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34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基于AR技术的脑外伤基础与临床整合式虚拟仿真实验（定制开发）</w:t>
            </w:r>
          </w:p>
        </w:tc>
        <w:tc>
          <w:tcPr>
            <w:tcW w:w="406" w:type="pct"/>
            <w:vMerge w:val="continue"/>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p>
        </w:tc>
        <w:tc>
          <w:tcPr>
            <w:tcW w:w="541"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UI</w:t>
            </w:r>
          </w:p>
        </w:tc>
        <w:tc>
          <w:tcPr>
            <w:tcW w:w="1043"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强制要求     </w:t>
            </w:r>
            <w:r>
              <w:rPr>
                <w:rFonts w:hint="eastAsia" w:ascii="仿宋_GB2312" w:hAnsi="仿宋_GB2312" w:eastAsia="仿宋_GB2312" w:cs="仿宋_GB2312"/>
                <w:kern w:val="0"/>
                <w:szCs w:val="21"/>
              </w:rPr>
              <w:sym w:font="Wingdings 2" w:char="00A3"/>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评分因素     </w:t>
            </w:r>
            <w:r>
              <w:rPr>
                <w:rFonts w:hint="eastAsia" w:ascii="仿宋_GB2312" w:hAnsi="仿宋_GB2312" w:eastAsia="仿宋_GB2312" w:cs="仿宋_GB2312"/>
                <w:kern w:val="0"/>
                <w:szCs w:val="21"/>
              </w:rPr>
              <w:sym w:font="Wingdings" w:char="00FE"/>
            </w:r>
          </w:p>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建议作为重要指标，适当增加分值权重         </w:t>
            </w:r>
            <w:r>
              <w:rPr>
                <w:rFonts w:hint="eastAsia" w:ascii="仿宋_GB2312" w:hAnsi="仿宋_GB2312" w:eastAsia="仿宋_GB2312" w:cs="仿宋_GB2312"/>
                <w:kern w:val="0"/>
                <w:szCs w:val="21"/>
              </w:rPr>
              <w:sym w:font="Wingdings" w:char="00A8"/>
            </w:r>
          </w:p>
        </w:tc>
        <w:tc>
          <w:tcPr>
            <w:tcW w:w="1402" w:type="pct"/>
            <w:vAlign w:val="center"/>
          </w:tcPr>
          <w:p>
            <w:pPr>
              <w:widowControl/>
              <w:spacing w:line="320" w:lineRule="exact"/>
              <w:ind w:left="0" w:leftChars="0" w:right="0" w:rightChars="0" w:firstLine="0" w:firstLineChars="0"/>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系统内嵌提醒帮助机制，在各个子界面中，采用场景对象方式，设计文本提示框等信息，系统设置帮助文档，浮动帮助文字。以3D形式进行场景展示时要求过程流畅，平滑连续，响应及时。可以自由拖拽场景中各种物体，仪器，与需要交互的物体之间展开交互，同时也可以点击关键部位查看提示信息。</w:t>
            </w:r>
            <w:bookmarkStart w:id="5" w:name="_GoBack"/>
            <w:bookmarkEnd w:id="5"/>
          </w:p>
        </w:tc>
        <w:tc>
          <w:tcPr>
            <w:tcW w:w="556"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UI界面设计合理，满足虚拟仿真实验管理和操作的需要，界面风格统一</w:t>
            </w:r>
          </w:p>
        </w:tc>
        <w:tc>
          <w:tcPr>
            <w:tcW w:w="470" w:type="pct"/>
            <w:vAlign w:val="center"/>
          </w:tcPr>
          <w:p>
            <w:pPr>
              <w:widowControl/>
              <w:spacing w:line="320" w:lineRule="exact"/>
              <w:ind w:left="0" w:leftChars="0" w:right="0" w:rightChars="0" w:firstLine="0" w:firstLineChars="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供应商书面承诺</w:t>
            </w:r>
          </w:p>
        </w:tc>
      </w:tr>
    </w:tbl>
    <w:p>
      <w:pPr>
        <w:pStyle w:val="23"/>
        <w:ind w:firstLine="0" w:firstLineChars="0"/>
        <w:rPr>
          <w:sz w:val="32"/>
          <w:szCs w:val="32"/>
        </w:rPr>
      </w:pPr>
    </w:p>
    <w:bookmarkEnd w:id="3"/>
    <w:p>
      <w:pPr>
        <w:pStyle w:val="22"/>
        <w:spacing w:before="0" w:after="0" w:line="572" w:lineRule="exact"/>
        <w:ind w:firstLine="683" w:firstLineChars="200"/>
        <w:jc w:val="both"/>
        <w:rPr>
          <w:rFonts w:ascii="仿宋_GB2312" w:hAnsi="仿宋" w:eastAsia="仿宋_GB2312"/>
          <w:b/>
          <w:sz w:val="32"/>
          <w:szCs w:val="32"/>
        </w:rPr>
      </w:pPr>
      <w:r>
        <w:rPr>
          <w:rFonts w:hint="eastAsia" w:ascii="仿宋_GB2312" w:hAnsi="仿宋" w:eastAsia="仿宋_GB2312"/>
          <w:b/>
          <w:sz w:val="32"/>
          <w:szCs w:val="32"/>
        </w:rPr>
        <w:t>4.验收标准方法</w:t>
      </w:r>
    </w:p>
    <w:p>
      <w:pPr>
        <w:spacing w:line="579"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商品到货、安装、调试后，根据合同中有关技术要求和系统配置按清单验收。</w:t>
      </w:r>
    </w:p>
    <w:p>
      <w:pPr>
        <w:spacing w:line="579"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5.其他需要明确的技术要求</w:t>
      </w:r>
    </w:p>
    <w:p>
      <w:pPr>
        <w:widowControl/>
        <w:ind w:firstLine="640" w:firstLineChars="200"/>
        <w:jc w:val="left"/>
        <w:rPr>
          <w:rFonts w:ascii="黑体" w:hAnsi="黑体" w:eastAsia="黑体"/>
          <w:sz w:val="32"/>
          <w:szCs w:val="32"/>
        </w:rPr>
        <w:sectPr>
          <w:headerReference r:id="rId3" w:type="default"/>
          <w:footerReference r:id="rId5" w:type="default"/>
          <w:headerReference r:id="rId4" w:type="even"/>
          <w:footerReference r:id="rId6" w:type="even"/>
          <w:pgSz w:w="11906" w:h="16838"/>
          <w:pgMar w:top="2098" w:right="1474" w:bottom="1985" w:left="1588" w:header="851" w:footer="1434" w:gutter="0"/>
          <w:cols w:space="720" w:num="1"/>
          <w:docGrid w:type="lines" w:linePitch="435" w:charSpace="0"/>
        </w:sectPr>
      </w:pPr>
      <w:r>
        <w:rPr>
          <w:rFonts w:hint="eastAsia" w:ascii="仿宋_GB2312" w:hAnsi="仿宋" w:eastAsia="仿宋_GB2312" w:cs="Times New Roman"/>
          <w:sz w:val="32"/>
          <w:szCs w:val="32"/>
        </w:rPr>
        <w:t>无</w:t>
      </w:r>
    </w:p>
    <w:p>
      <w:pPr>
        <w:spacing w:line="560" w:lineRule="exact"/>
        <w:outlineLvl w:val="2"/>
        <w:rPr>
          <w:rFonts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（二）经济要求</w:t>
      </w:r>
    </w:p>
    <w:p>
      <w:pPr>
        <w:overflowPunct w:val="0"/>
        <w:spacing w:line="530"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1.预算安排</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本次采购项目预算最高限价230万元，将全部用于标的内容采购。</w:t>
      </w:r>
    </w:p>
    <w:p>
      <w:pPr>
        <w:overflowPunct w:val="0"/>
        <w:spacing w:line="530"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2.标的数量</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采购数量：</w:t>
      </w:r>
      <w:r>
        <w:rPr>
          <w:rFonts w:ascii="仿宋_GB2312" w:hAnsi="仿宋" w:eastAsia="仿宋_GB2312" w:cs="Times New Roman"/>
          <w:sz w:val="32"/>
          <w:szCs w:val="32"/>
        </w:rPr>
        <w:t>3</w:t>
      </w:r>
      <w:r>
        <w:rPr>
          <w:rFonts w:hint="eastAsia" w:ascii="仿宋_GB2312" w:hAnsi="仿宋" w:eastAsia="仿宋_GB2312" w:cs="Times New Roman"/>
          <w:sz w:val="32"/>
          <w:szCs w:val="32"/>
        </w:rPr>
        <w:t>个模块</w:t>
      </w:r>
    </w:p>
    <w:p>
      <w:pPr>
        <w:overflowPunct w:val="0"/>
        <w:spacing w:line="530"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3.交付实施要求</w:t>
      </w:r>
    </w:p>
    <w:p>
      <w:pPr>
        <w:overflowPunct w:val="0"/>
        <w:spacing w:line="53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交货地点：</w:t>
      </w:r>
      <w:r>
        <w:rPr>
          <w:rFonts w:hint="eastAsia" w:ascii="仿宋_GB2312" w:hAnsi="仿宋" w:eastAsia="仿宋_GB2312" w:cs="Times New Roman"/>
          <w:sz w:val="32"/>
          <w:szCs w:val="32"/>
        </w:rPr>
        <w:t>陆军军医大学基础医学院基础医学教学实验中心</w:t>
      </w:r>
    </w:p>
    <w:p>
      <w:pPr>
        <w:overflowPunct w:val="0"/>
        <w:spacing w:line="53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交货期：产品于合同签订后</w:t>
      </w:r>
      <w:r>
        <w:rPr>
          <w:rFonts w:hint="eastAsia" w:ascii="仿宋_GB2312" w:hAnsi="仿宋" w:eastAsia="仿宋_GB2312" w:cs="Times New Roman"/>
          <w:sz w:val="32"/>
          <w:szCs w:val="32"/>
        </w:rPr>
        <w:t>90天</w:t>
      </w:r>
      <w:r>
        <w:rPr>
          <w:rFonts w:ascii="仿宋_GB2312" w:hAnsi="仿宋" w:eastAsia="仿宋_GB2312" w:cs="Times New Roman"/>
          <w:sz w:val="32"/>
          <w:szCs w:val="32"/>
        </w:rPr>
        <w:t>内到货并安装</w:t>
      </w:r>
      <w:r>
        <w:rPr>
          <w:rFonts w:hint="eastAsia" w:ascii="仿宋_GB2312" w:hAnsi="仿宋" w:eastAsia="仿宋_GB2312" w:cs="Times New Roman"/>
          <w:sz w:val="32"/>
          <w:szCs w:val="32"/>
        </w:rPr>
        <w:t>、调试</w:t>
      </w:r>
      <w:r>
        <w:rPr>
          <w:rFonts w:ascii="仿宋_GB2312" w:hAnsi="仿宋" w:eastAsia="仿宋_GB2312" w:cs="Times New Roman"/>
          <w:sz w:val="32"/>
          <w:szCs w:val="32"/>
        </w:rPr>
        <w:t>完成。</w:t>
      </w:r>
    </w:p>
    <w:p>
      <w:pPr>
        <w:overflowPunct w:val="0"/>
        <w:spacing w:line="53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交货方式：由中标供应商负责免费配送、安装、调试、培训等。</w:t>
      </w:r>
    </w:p>
    <w:p>
      <w:pPr>
        <w:overflowPunct w:val="0"/>
        <w:spacing w:line="530"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4.质量保证和售后服务</w:t>
      </w:r>
    </w:p>
    <w:p>
      <w:pPr>
        <w:overflowPunct w:val="0"/>
        <w:spacing w:line="53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质量保证：</w:t>
      </w:r>
      <w:r>
        <w:rPr>
          <w:rFonts w:hint="eastAsia" w:ascii="仿宋_GB2312" w:hAnsi="仿宋" w:eastAsia="仿宋_GB2312" w:cs="Times New Roman"/>
          <w:sz w:val="32"/>
          <w:szCs w:val="32"/>
        </w:rPr>
        <w:t>产品质保期2年。</w:t>
      </w:r>
    </w:p>
    <w:p>
      <w:pPr>
        <w:overflowPunct w:val="0"/>
        <w:spacing w:line="530"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5.付款条件</w:t>
      </w:r>
    </w:p>
    <w:p>
      <w:pPr>
        <w:overflowPunct w:val="0"/>
        <w:spacing w:line="53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本项目不预付货款，</w:t>
      </w:r>
      <w:r>
        <w:rPr>
          <w:rFonts w:hint="eastAsia" w:ascii="仿宋_GB2312" w:hAnsi="仿宋" w:eastAsia="仿宋_GB2312" w:cs="Times New Roman"/>
          <w:sz w:val="32"/>
          <w:szCs w:val="32"/>
        </w:rPr>
        <w:t>验收合格后支付合同价款的9</w:t>
      </w:r>
      <w:r>
        <w:rPr>
          <w:rFonts w:ascii="仿宋_GB2312" w:hAnsi="仿宋" w:eastAsia="仿宋_GB2312" w:cs="Times New Roman"/>
          <w:sz w:val="32"/>
          <w:szCs w:val="32"/>
        </w:rPr>
        <w:t>5%</w:t>
      </w:r>
      <w:r>
        <w:rPr>
          <w:rFonts w:hint="eastAsia" w:ascii="仿宋_GB2312" w:hAnsi="仿宋" w:eastAsia="仿宋_GB2312" w:cs="Times New Roman"/>
          <w:sz w:val="32"/>
          <w:szCs w:val="32"/>
        </w:rPr>
        <w:t>，质保期结束后支付合同价款的5</w:t>
      </w:r>
      <w:r>
        <w:rPr>
          <w:rFonts w:ascii="仿宋_GB2312" w:hAnsi="仿宋" w:eastAsia="仿宋_GB2312" w:cs="Times New Roman"/>
          <w:sz w:val="32"/>
          <w:szCs w:val="32"/>
        </w:rPr>
        <w:t>%。</w:t>
      </w:r>
    </w:p>
    <w:p>
      <w:pPr>
        <w:overflowPunct w:val="0"/>
        <w:spacing w:line="530"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6.包装、运输、专用工具、备品备件、报价要求、保险、</w:t>
      </w:r>
      <w:r>
        <w:rPr>
          <w:rFonts w:hint="eastAsia" w:ascii="仿宋_GB2312" w:hAnsi="Microsoft YaHei UI" w:eastAsia="仿宋_GB2312" w:cs="Microsoft YaHei UI"/>
          <w:b/>
          <w:bCs/>
          <w:spacing w:val="4"/>
          <w:sz w:val="32"/>
          <w:szCs w:val="32"/>
          <w:shd w:val="clear" w:color="auto" w:fill="FFFFFF"/>
        </w:rPr>
        <w:t>保密和专利</w:t>
      </w:r>
      <w:r>
        <w:rPr>
          <w:rFonts w:hint="eastAsia" w:ascii="仿宋_GB2312" w:hAnsi="仿宋" w:eastAsia="仿宋_GB2312" w:cs="Times New Roman"/>
          <w:b/>
          <w:bCs/>
          <w:sz w:val="32"/>
          <w:szCs w:val="32"/>
        </w:rPr>
        <w:t>等</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包装、运输、专用工具：由中标方无条件免费提供。</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报价要求、保险、保密和专利等要求：无。</w:t>
      </w:r>
    </w:p>
    <w:p>
      <w:pPr>
        <w:overflowPunct w:val="0"/>
        <w:spacing w:line="530"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7.打码标签</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乙方应当配合甲方完成合同内采购物资的编目编码工作，按照统一要求，提供物资相关数据信息，配合甲方做好编目数据采集工作。涉密信息应当按照国家、军队安全保密有关规定进行处理，确保不发生失泄密问题。</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（2）乙方应当按照统一要求在物资交付前完成打码贴签工作。</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（3）物资编目数据填报和打码贴签悄况，列入出厂验收、接收验收项目；编目数据、标识标签不符合规范要求的，验收不予通过，不得进入物资储存单位。乙方应当在7日内完成整改，重新协调甲方组织验收。</w:t>
      </w:r>
    </w:p>
    <w:p>
      <w:pPr>
        <w:overflowPunct w:val="0"/>
        <w:spacing w:line="530"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8.其他需要明确的事项</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无</w:t>
      </w:r>
    </w:p>
    <w:p>
      <w:pPr>
        <w:overflowPunct w:val="0"/>
        <w:spacing w:line="530" w:lineRule="exact"/>
        <w:ind w:firstLine="640" w:firstLineChars="200"/>
        <w:rPr>
          <w:rFonts w:ascii="仿宋_GB2312" w:hAnsi="仿宋" w:eastAsia="仿宋_GB2312" w:cs="Times New Roman"/>
          <w:sz w:val="32"/>
          <w:szCs w:val="32"/>
        </w:rPr>
      </w:pPr>
    </w:p>
    <w:p>
      <w:pPr>
        <w:spacing w:line="520" w:lineRule="exact"/>
        <w:outlineLvl w:val="1"/>
        <w:rPr>
          <w:rFonts w:ascii="仿宋_GB2312" w:hAnsi="宋体" w:eastAsia="仿宋_GB2312" w:cs="Times New Roman"/>
          <w:b/>
          <w:sz w:val="32"/>
          <w:szCs w:val="32"/>
        </w:rPr>
      </w:pPr>
      <w:r>
        <w:rPr>
          <w:rFonts w:hint="eastAsia" w:ascii="仿宋_GB2312" w:hAnsi="宋体" w:eastAsia="仿宋_GB2312" w:cs="Times New Roman"/>
          <w:b/>
          <w:sz w:val="32"/>
          <w:szCs w:val="32"/>
        </w:rPr>
        <w:t>（三）实施意见</w:t>
      </w:r>
    </w:p>
    <w:p>
      <w:pPr>
        <w:spacing w:line="560" w:lineRule="exact"/>
        <w:ind w:firstLine="643" w:firstLineChars="200"/>
        <w:outlineLvl w:val="2"/>
        <w:rPr>
          <w:rFonts w:ascii="仿宋_GB2312" w:hAnsi="宋体" w:eastAsia="仿宋_GB2312" w:cs="Times New Roman"/>
          <w:b/>
          <w:bCs/>
          <w:sz w:val="32"/>
          <w:szCs w:val="32"/>
        </w:rPr>
      </w:pPr>
      <w:r>
        <w:rPr>
          <w:rFonts w:hint="eastAsia" w:ascii="仿宋_GB2312" w:hAnsi="宋体" w:eastAsia="仿宋_GB2312" w:cs="Times New Roman"/>
          <w:b/>
          <w:bCs/>
          <w:sz w:val="32"/>
          <w:szCs w:val="32"/>
        </w:rPr>
        <w:t>1.供应商资格条件设定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pacing w:val="-6"/>
          <w:sz w:val="32"/>
          <w:szCs w:val="32"/>
        </w:rPr>
        <w:t>符合《中华人民共和国政府采购法》第二十二条资格条件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（5）参加政府采购活动前3年内，在经营活动中没有重大违法记录；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1.2国有企业；事业单位；军队单位；成立3年以上的非外资独资企业或控股企业。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1.3单</w:t>
      </w:r>
      <w:r>
        <w:rPr>
          <w:rFonts w:hint="eastAsia" w:ascii="仿宋_GB2312" w:hAnsi="仿宋_GB2312" w:eastAsia="仿宋_GB2312" w:cs="仿宋_GB2312"/>
          <w:spacing w:val="-6"/>
          <w:sz w:val="32"/>
          <w:szCs w:val="32"/>
        </w:rPr>
        <w:t>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pPr>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1.4未被中</w:t>
      </w:r>
      <w:r>
        <w:rPr>
          <w:rFonts w:hint="eastAsia" w:ascii="仿宋_GB2312" w:hAnsi="Times New Roman" w:eastAsia="仿宋_GB2312" w:cs="Times New Roman"/>
          <w:sz w:val="32"/>
          <w:szCs w:val="32"/>
        </w:rPr>
        <w:t>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w:t>
      </w:r>
      <w:r>
        <w:rPr>
          <w:rFonts w:ascii="Times New Roman" w:hAnsi="Times New Roman" w:eastAsia="仿宋_GB2312" w:cs="Times New Roman"/>
          <w:sz w:val="32"/>
          <w:szCs w:val="32"/>
        </w:rPr>
        <w:t>处罚期内）。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1.5本项目不接受联合体投标。</w:t>
      </w:r>
    </w:p>
    <w:p>
      <w:pPr>
        <w:spacing w:line="560" w:lineRule="exact"/>
        <w:ind w:firstLine="643" w:firstLineChars="200"/>
        <w:outlineLvl w:val="2"/>
        <w:rPr>
          <w:rFonts w:ascii="仿宋_GB2312" w:hAnsi="宋体" w:eastAsia="仿宋_GB2312" w:cs="Times New Roman"/>
          <w:b/>
          <w:bCs/>
          <w:sz w:val="32"/>
          <w:szCs w:val="32"/>
        </w:rPr>
      </w:pPr>
      <w:r>
        <w:rPr>
          <w:rFonts w:hint="eastAsia" w:ascii="仿宋_GB2312" w:hAnsi="宋体" w:eastAsia="仿宋_GB2312" w:cs="Times New Roman"/>
          <w:b/>
          <w:bCs/>
          <w:sz w:val="32"/>
          <w:szCs w:val="32"/>
        </w:rPr>
        <w:t>2.样品评审（比测）组织</w:t>
      </w:r>
    </w:p>
    <w:p>
      <w:pPr>
        <w:spacing w:line="579"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本项目无需组织原型测评。</w:t>
      </w:r>
    </w:p>
    <w:p>
      <w:pPr>
        <w:overflowPunct w:val="0"/>
        <w:spacing w:line="530" w:lineRule="exact"/>
        <w:ind w:firstLine="640" w:firstLineChars="200"/>
        <w:rPr>
          <w:rFonts w:ascii="仿宋_GB2312" w:hAnsi="仿宋" w:eastAsia="仿宋_GB2312" w:cs="Times New Roman"/>
          <w:sz w:val="32"/>
          <w:szCs w:val="32"/>
        </w:rPr>
      </w:pPr>
    </w:p>
    <w:p/>
    <w:p/>
    <w:p/>
    <w:p/>
    <w:p/>
    <w:sectPr>
      <w:headerReference r:id="rId7" w:type="default"/>
      <w:footerReference r:id="rId8" w:type="default"/>
      <w:pgSz w:w="11906" w:h="16838"/>
      <w:pgMar w:top="1440" w:right="1274"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Times New Roman"/>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Times New Roman"/>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320" w:lineRule="exact"/>
      <w:jc w:val="left"/>
      <w:rPr>
        <w:rFonts w:ascii="Times New Roman" w:hAnsi="Times New Roman" w:eastAsia="仿宋_GB2312"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center"/>
      <w:rPr>
        <w:rFonts w:ascii="Times New Roman" w:hAnsi="Times New Roman" w:eastAsia="仿宋_GB2312"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NzU5ZTc4YTNhNDJmMDI2ODk4ZGM0ZTBkMjg5ZjcifQ=="/>
  </w:docVars>
  <w:rsids>
    <w:rsidRoot w:val="007871A7"/>
    <w:rsid w:val="000005E0"/>
    <w:rsid w:val="00013EC6"/>
    <w:rsid w:val="00023DB2"/>
    <w:rsid w:val="000243F0"/>
    <w:rsid w:val="000346B0"/>
    <w:rsid w:val="0004198B"/>
    <w:rsid w:val="00045DC8"/>
    <w:rsid w:val="000468E3"/>
    <w:rsid w:val="000526AA"/>
    <w:rsid w:val="00052A53"/>
    <w:rsid w:val="00063B26"/>
    <w:rsid w:val="0008065D"/>
    <w:rsid w:val="00083A13"/>
    <w:rsid w:val="00085719"/>
    <w:rsid w:val="00093B38"/>
    <w:rsid w:val="00097B6F"/>
    <w:rsid w:val="000A2D4B"/>
    <w:rsid w:val="000A4EFE"/>
    <w:rsid w:val="000C5C88"/>
    <w:rsid w:val="000D5760"/>
    <w:rsid w:val="000F17BE"/>
    <w:rsid w:val="000F2D1F"/>
    <w:rsid w:val="0010469F"/>
    <w:rsid w:val="00107CCB"/>
    <w:rsid w:val="00113693"/>
    <w:rsid w:val="001138D7"/>
    <w:rsid w:val="00121D94"/>
    <w:rsid w:val="00123B7E"/>
    <w:rsid w:val="0013681F"/>
    <w:rsid w:val="00144F10"/>
    <w:rsid w:val="001676EE"/>
    <w:rsid w:val="00167BE1"/>
    <w:rsid w:val="0017701F"/>
    <w:rsid w:val="0017791A"/>
    <w:rsid w:val="00180E5A"/>
    <w:rsid w:val="001A03E9"/>
    <w:rsid w:val="001B1162"/>
    <w:rsid w:val="001B3B9A"/>
    <w:rsid w:val="001B67BE"/>
    <w:rsid w:val="001C6A09"/>
    <w:rsid w:val="001E1875"/>
    <w:rsid w:val="001F374D"/>
    <w:rsid w:val="002456EA"/>
    <w:rsid w:val="002650D6"/>
    <w:rsid w:val="00274BC5"/>
    <w:rsid w:val="00275AE0"/>
    <w:rsid w:val="00291AC1"/>
    <w:rsid w:val="002A02F2"/>
    <w:rsid w:val="002A32E7"/>
    <w:rsid w:val="002A3968"/>
    <w:rsid w:val="002B6331"/>
    <w:rsid w:val="002D4878"/>
    <w:rsid w:val="002D5CB4"/>
    <w:rsid w:val="002D7735"/>
    <w:rsid w:val="002E1A3E"/>
    <w:rsid w:val="002E7733"/>
    <w:rsid w:val="002F301F"/>
    <w:rsid w:val="0030028A"/>
    <w:rsid w:val="00335D14"/>
    <w:rsid w:val="003663A7"/>
    <w:rsid w:val="0037556B"/>
    <w:rsid w:val="00385B49"/>
    <w:rsid w:val="00394B89"/>
    <w:rsid w:val="003B3B98"/>
    <w:rsid w:val="003B7F32"/>
    <w:rsid w:val="003C3AA6"/>
    <w:rsid w:val="003D1BD1"/>
    <w:rsid w:val="003D39A8"/>
    <w:rsid w:val="003D79C1"/>
    <w:rsid w:val="003E4D28"/>
    <w:rsid w:val="003E6B7F"/>
    <w:rsid w:val="003E7511"/>
    <w:rsid w:val="003F237B"/>
    <w:rsid w:val="003F2CA7"/>
    <w:rsid w:val="003F769B"/>
    <w:rsid w:val="00406C17"/>
    <w:rsid w:val="00415222"/>
    <w:rsid w:val="0041566C"/>
    <w:rsid w:val="0043558F"/>
    <w:rsid w:val="00442830"/>
    <w:rsid w:val="004502A7"/>
    <w:rsid w:val="00461A0A"/>
    <w:rsid w:val="0048485C"/>
    <w:rsid w:val="00490776"/>
    <w:rsid w:val="004929F4"/>
    <w:rsid w:val="00494B83"/>
    <w:rsid w:val="004B168A"/>
    <w:rsid w:val="004B759B"/>
    <w:rsid w:val="004D581F"/>
    <w:rsid w:val="004E14F0"/>
    <w:rsid w:val="004E3CD8"/>
    <w:rsid w:val="004E7688"/>
    <w:rsid w:val="004F533B"/>
    <w:rsid w:val="00503802"/>
    <w:rsid w:val="00504B30"/>
    <w:rsid w:val="00510307"/>
    <w:rsid w:val="00511023"/>
    <w:rsid w:val="005176CD"/>
    <w:rsid w:val="00524155"/>
    <w:rsid w:val="00562F98"/>
    <w:rsid w:val="005718D9"/>
    <w:rsid w:val="00591C81"/>
    <w:rsid w:val="0059545B"/>
    <w:rsid w:val="00595B8C"/>
    <w:rsid w:val="005A1486"/>
    <w:rsid w:val="005B1682"/>
    <w:rsid w:val="005B665F"/>
    <w:rsid w:val="005C26A7"/>
    <w:rsid w:val="005D31B1"/>
    <w:rsid w:val="00604FCE"/>
    <w:rsid w:val="0062175B"/>
    <w:rsid w:val="00631348"/>
    <w:rsid w:val="00637DB5"/>
    <w:rsid w:val="006402E0"/>
    <w:rsid w:val="00646F0C"/>
    <w:rsid w:val="00656765"/>
    <w:rsid w:val="00656D9D"/>
    <w:rsid w:val="00671EBC"/>
    <w:rsid w:val="00671F00"/>
    <w:rsid w:val="00680935"/>
    <w:rsid w:val="006A4107"/>
    <w:rsid w:val="006A44BA"/>
    <w:rsid w:val="006A7AFB"/>
    <w:rsid w:val="006B2489"/>
    <w:rsid w:val="006E0ABF"/>
    <w:rsid w:val="006E22F3"/>
    <w:rsid w:val="006F1620"/>
    <w:rsid w:val="006F3E47"/>
    <w:rsid w:val="006F4D1E"/>
    <w:rsid w:val="007039C4"/>
    <w:rsid w:val="00710EEE"/>
    <w:rsid w:val="007123AC"/>
    <w:rsid w:val="00715B93"/>
    <w:rsid w:val="00734F58"/>
    <w:rsid w:val="00754FF7"/>
    <w:rsid w:val="00763495"/>
    <w:rsid w:val="00764B22"/>
    <w:rsid w:val="00766423"/>
    <w:rsid w:val="00773553"/>
    <w:rsid w:val="0077566E"/>
    <w:rsid w:val="00781AA4"/>
    <w:rsid w:val="0078299E"/>
    <w:rsid w:val="007871A7"/>
    <w:rsid w:val="007A3E4B"/>
    <w:rsid w:val="007B5215"/>
    <w:rsid w:val="007C2E12"/>
    <w:rsid w:val="007D462E"/>
    <w:rsid w:val="007E2DB5"/>
    <w:rsid w:val="008015DF"/>
    <w:rsid w:val="008024A5"/>
    <w:rsid w:val="00803E41"/>
    <w:rsid w:val="0080460C"/>
    <w:rsid w:val="00822C5B"/>
    <w:rsid w:val="00822C66"/>
    <w:rsid w:val="00836DE8"/>
    <w:rsid w:val="00837352"/>
    <w:rsid w:val="00840B69"/>
    <w:rsid w:val="00850B7A"/>
    <w:rsid w:val="00864FDC"/>
    <w:rsid w:val="00874B33"/>
    <w:rsid w:val="00874D19"/>
    <w:rsid w:val="008831AD"/>
    <w:rsid w:val="00887038"/>
    <w:rsid w:val="00890924"/>
    <w:rsid w:val="008A0E77"/>
    <w:rsid w:val="008A31EA"/>
    <w:rsid w:val="008A6F10"/>
    <w:rsid w:val="008B518B"/>
    <w:rsid w:val="008B5340"/>
    <w:rsid w:val="008C6216"/>
    <w:rsid w:val="008D0830"/>
    <w:rsid w:val="008D6288"/>
    <w:rsid w:val="008F3C7F"/>
    <w:rsid w:val="0091451A"/>
    <w:rsid w:val="009158C6"/>
    <w:rsid w:val="00925125"/>
    <w:rsid w:val="00926C41"/>
    <w:rsid w:val="009307FF"/>
    <w:rsid w:val="00942CB3"/>
    <w:rsid w:val="009509AD"/>
    <w:rsid w:val="00957369"/>
    <w:rsid w:val="0096135A"/>
    <w:rsid w:val="00971379"/>
    <w:rsid w:val="00972B74"/>
    <w:rsid w:val="00973A0B"/>
    <w:rsid w:val="0099140A"/>
    <w:rsid w:val="009954A5"/>
    <w:rsid w:val="009A03A4"/>
    <w:rsid w:val="009A517C"/>
    <w:rsid w:val="009A66A3"/>
    <w:rsid w:val="009C36F7"/>
    <w:rsid w:val="009C4E1F"/>
    <w:rsid w:val="009D5D34"/>
    <w:rsid w:val="009D6932"/>
    <w:rsid w:val="00A04BD1"/>
    <w:rsid w:val="00A05A96"/>
    <w:rsid w:val="00A2075B"/>
    <w:rsid w:val="00A24930"/>
    <w:rsid w:val="00A25DE0"/>
    <w:rsid w:val="00A429B3"/>
    <w:rsid w:val="00A4375D"/>
    <w:rsid w:val="00A467EF"/>
    <w:rsid w:val="00A5038C"/>
    <w:rsid w:val="00A74966"/>
    <w:rsid w:val="00A860F5"/>
    <w:rsid w:val="00A93698"/>
    <w:rsid w:val="00A96453"/>
    <w:rsid w:val="00AA2700"/>
    <w:rsid w:val="00AB0B78"/>
    <w:rsid w:val="00AB18A2"/>
    <w:rsid w:val="00AD1261"/>
    <w:rsid w:val="00AE4A25"/>
    <w:rsid w:val="00AF1D5F"/>
    <w:rsid w:val="00B11D2C"/>
    <w:rsid w:val="00B153E7"/>
    <w:rsid w:val="00B17B2C"/>
    <w:rsid w:val="00B42D2E"/>
    <w:rsid w:val="00B45FF6"/>
    <w:rsid w:val="00B55A3E"/>
    <w:rsid w:val="00B6058F"/>
    <w:rsid w:val="00B605E5"/>
    <w:rsid w:val="00B64D23"/>
    <w:rsid w:val="00B71AF2"/>
    <w:rsid w:val="00B86B5D"/>
    <w:rsid w:val="00B87C8B"/>
    <w:rsid w:val="00B92AD3"/>
    <w:rsid w:val="00B930D5"/>
    <w:rsid w:val="00BC15DC"/>
    <w:rsid w:val="00BC669E"/>
    <w:rsid w:val="00BD3A78"/>
    <w:rsid w:val="00BD3D17"/>
    <w:rsid w:val="00BD5DD1"/>
    <w:rsid w:val="00BD70EE"/>
    <w:rsid w:val="00C03627"/>
    <w:rsid w:val="00C0599B"/>
    <w:rsid w:val="00C14923"/>
    <w:rsid w:val="00C334DE"/>
    <w:rsid w:val="00C663FC"/>
    <w:rsid w:val="00C82516"/>
    <w:rsid w:val="00C91577"/>
    <w:rsid w:val="00C93E36"/>
    <w:rsid w:val="00C95D10"/>
    <w:rsid w:val="00CB0DF4"/>
    <w:rsid w:val="00CB3D42"/>
    <w:rsid w:val="00CB6A4C"/>
    <w:rsid w:val="00CB772D"/>
    <w:rsid w:val="00CC4718"/>
    <w:rsid w:val="00CF0050"/>
    <w:rsid w:val="00D02ED7"/>
    <w:rsid w:val="00D04D2C"/>
    <w:rsid w:val="00D079D1"/>
    <w:rsid w:val="00D60703"/>
    <w:rsid w:val="00D653D7"/>
    <w:rsid w:val="00D67537"/>
    <w:rsid w:val="00D71594"/>
    <w:rsid w:val="00D83357"/>
    <w:rsid w:val="00DA1F18"/>
    <w:rsid w:val="00DC7786"/>
    <w:rsid w:val="00E14195"/>
    <w:rsid w:val="00E22F6B"/>
    <w:rsid w:val="00E35570"/>
    <w:rsid w:val="00E37867"/>
    <w:rsid w:val="00E50790"/>
    <w:rsid w:val="00E55883"/>
    <w:rsid w:val="00E66918"/>
    <w:rsid w:val="00E873BA"/>
    <w:rsid w:val="00E96C56"/>
    <w:rsid w:val="00E97C11"/>
    <w:rsid w:val="00EA1B1E"/>
    <w:rsid w:val="00EA1B96"/>
    <w:rsid w:val="00EC422C"/>
    <w:rsid w:val="00ED0920"/>
    <w:rsid w:val="00ED543C"/>
    <w:rsid w:val="00ED78F8"/>
    <w:rsid w:val="00EE4551"/>
    <w:rsid w:val="00EF13AB"/>
    <w:rsid w:val="00EF18BE"/>
    <w:rsid w:val="00F115C0"/>
    <w:rsid w:val="00F20F2C"/>
    <w:rsid w:val="00F22D58"/>
    <w:rsid w:val="00F26BF4"/>
    <w:rsid w:val="00F27A4F"/>
    <w:rsid w:val="00F30BD8"/>
    <w:rsid w:val="00F34406"/>
    <w:rsid w:val="00F46744"/>
    <w:rsid w:val="00F50329"/>
    <w:rsid w:val="00F5093A"/>
    <w:rsid w:val="00F67C8E"/>
    <w:rsid w:val="00F74112"/>
    <w:rsid w:val="00F8154F"/>
    <w:rsid w:val="00F823B5"/>
    <w:rsid w:val="00F91F1F"/>
    <w:rsid w:val="00F942AF"/>
    <w:rsid w:val="00FA4648"/>
    <w:rsid w:val="00FD5A45"/>
    <w:rsid w:val="00FD67E7"/>
    <w:rsid w:val="00FE0CFF"/>
    <w:rsid w:val="00FF2F7B"/>
    <w:rsid w:val="01367179"/>
    <w:rsid w:val="01536131"/>
    <w:rsid w:val="018207C5"/>
    <w:rsid w:val="01CA3F1A"/>
    <w:rsid w:val="01CF0C9C"/>
    <w:rsid w:val="020C4532"/>
    <w:rsid w:val="034F0B7A"/>
    <w:rsid w:val="04293179"/>
    <w:rsid w:val="048760F2"/>
    <w:rsid w:val="05A01986"/>
    <w:rsid w:val="069E06D7"/>
    <w:rsid w:val="06A765D7"/>
    <w:rsid w:val="06D762A8"/>
    <w:rsid w:val="07DE3316"/>
    <w:rsid w:val="08470072"/>
    <w:rsid w:val="091F73DA"/>
    <w:rsid w:val="092959CA"/>
    <w:rsid w:val="09480F30"/>
    <w:rsid w:val="094E3682"/>
    <w:rsid w:val="09654497"/>
    <w:rsid w:val="0A04260D"/>
    <w:rsid w:val="0A1B5312"/>
    <w:rsid w:val="0A9F0F2B"/>
    <w:rsid w:val="0AB063A2"/>
    <w:rsid w:val="0B16599D"/>
    <w:rsid w:val="0BC559B7"/>
    <w:rsid w:val="0BF91683"/>
    <w:rsid w:val="0C5E3BDC"/>
    <w:rsid w:val="0CFD1647"/>
    <w:rsid w:val="0D4B23B2"/>
    <w:rsid w:val="0DE20BA1"/>
    <w:rsid w:val="0E206E39"/>
    <w:rsid w:val="0E4B63E2"/>
    <w:rsid w:val="0EDD37C3"/>
    <w:rsid w:val="0F7014AD"/>
    <w:rsid w:val="0F751969"/>
    <w:rsid w:val="0F8A150F"/>
    <w:rsid w:val="0FBD7376"/>
    <w:rsid w:val="0FED3255"/>
    <w:rsid w:val="1031745E"/>
    <w:rsid w:val="10801075"/>
    <w:rsid w:val="10935BD4"/>
    <w:rsid w:val="10B14C22"/>
    <w:rsid w:val="11697AFB"/>
    <w:rsid w:val="11807FE3"/>
    <w:rsid w:val="1332160B"/>
    <w:rsid w:val="143C2F92"/>
    <w:rsid w:val="14861F22"/>
    <w:rsid w:val="14A625C4"/>
    <w:rsid w:val="15A20FDE"/>
    <w:rsid w:val="15C56A7A"/>
    <w:rsid w:val="163A1216"/>
    <w:rsid w:val="168C0325"/>
    <w:rsid w:val="169E686A"/>
    <w:rsid w:val="178F7340"/>
    <w:rsid w:val="18055854"/>
    <w:rsid w:val="18A94431"/>
    <w:rsid w:val="18EB4A4A"/>
    <w:rsid w:val="19467ED2"/>
    <w:rsid w:val="19597C05"/>
    <w:rsid w:val="196A1E12"/>
    <w:rsid w:val="19F811CC"/>
    <w:rsid w:val="1A5F124B"/>
    <w:rsid w:val="1A5F2FF9"/>
    <w:rsid w:val="1B0736D7"/>
    <w:rsid w:val="1B3426D8"/>
    <w:rsid w:val="1B7D422F"/>
    <w:rsid w:val="1BBB4BA7"/>
    <w:rsid w:val="1BCD5FEE"/>
    <w:rsid w:val="1CAA7647"/>
    <w:rsid w:val="1CC574CB"/>
    <w:rsid w:val="1D67733D"/>
    <w:rsid w:val="1D9C4564"/>
    <w:rsid w:val="1DF27336"/>
    <w:rsid w:val="1DFC2242"/>
    <w:rsid w:val="1ED55F80"/>
    <w:rsid w:val="1F7A45E0"/>
    <w:rsid w:val="1F8359DC"/>
    <w:rsid w:val="1F866D56"/>
    <w:rsid w:val="1F925C1F"/>
    <w:rsid w:val="202251F5"/>
    <w:rsid w:val="204979A2"/>
    <w:rsid w:val="20B3409F"/>
    <w:rsid w:val="21025026"/>
    <w:rsid w:val="21DA38AD"/>
    <w:rsid w:val="21F804C4"/>
    <w:rsid w:val="2244163A"/>
    <w:rsid w:val="226A4C31"/>
    <w:rsid w:val="227B6E3E"/>
    <w:rsid w:val="23C0332D"/>
    <w:rsid w:val="23F23130"/>
    <w:rsid w:val="246A716A"/>
    <w:rsid w:val="24991787"/>
    <w:rsid w:val="249B37C8"/>
    <w:rsid w:val="249F17D3"/>
    <w:rsid w:val="24CA7C09"/>
    <w:rsid w:val="24E269B4"/>
    <w:rsid w:val="26811FF9"/>
    <w:rsid w:val="26CB08D0"/>
    <w:rsid w:val="26DE174A"/>
    <w:rsid w:val="27514612"/>
    <w:rsid w:val="2758470E"/>
    <w:rsid w:val="27AC35F6"/>
    <w:rsid w:val="284D302B"/>
    <w:rsid w:val="286554C6"/>
    <w:rsid w:val="28944322"/>
    <w:rsid w:val="2920604A"/>
    <w:rsid w:val="294206B6"/>
    <w:rsid w:val="298B5A4B"/>
    <w:rsid w:val="2A18099A"/>
    <w:rsid w:val="2A1C2CB5"/>
    <w:rsid w:val="2A781EB5"/>
    <w:rsid w:val="2A8F7F8F"/>
    <w:rsid w:val="2B531430"/>
    <w:rsid w:val="2BD934C3"/>
    <w:rsid w:val="2BDF5CEB"/>
    <w:rsid w:val="2CF06872"/>
    <w:rsid w:val="2D9E60D7"/>
    <w:rsid w:val="2DB66F7C"/>
    <w:rsid w:val="2E8D23D3"/>
    <w:rsid w:val="2ED2428A"/>
    <w:rsid w:val="2F5B2783"/>
    <w:rsid w:val="2F7D543B"/>
    <w:rsid w:val="2FB35604"/>
    <w:rsid w:val="30027A39"/>
    <w:rsid w:val="30275F10"/>
    <w:rsid w:val="3048315F"/>
    <w:rsid w:val="31102E48"/>
    <w:rsid w:val="31E962B0"/>
    <w:rsid w:val="325F4087"/>
    <w:rsid w:val="32A01FA9"/>
    <w:rsid w:val="32D663FF"/>
    <w:rsid w:val="330A7E94"/>
    <w:rsid w:val="333252F7"/>
    <w:rsid w:val="33574D5E"/>
    <w:rsid w:val="339935C8"/>
    <w:rsid w:val="340D18C0"/>
    <w:rsid w:val="34A22009"/>
    <w:rsid w:val="34AA2B13"/>
    <w:rsid w:val="34BC5490"/>
    <w:rsid w:val="35156C7E"/>
    <w:rsid w:val="352E7D40"/>
    <w:rsid w:val="36A27FE9"/>
    <w:rsid w:val="37076A9B"/>
    <w:rsid w:val="37F7BA61"/>
    <w:rsid w:val="387E2D8D"/>
    <w:rsid w:val="39131CE5"/>
    <w:rsid w:val="39F37825"/>
    <w:rsid w:val="39F67C4B"/>
    <w:rsid w:val="3A3B7187"/>
    <w:rsid w:val="3A7E7074"/>
    <w:rsid w:val="3AEF3ACE"/>
    <w:rsid w:val="3B586038"/>
    <w:rsid w:val="3BA048D6"/>
    <w:rsid w:val="3BB80364"/>
    <w:rsid w:val="3BC82C9D"/>
    <w:rsid w:val="3BFA6BCE"/>
    <w:rsid w:val="3CBB6992"/>
    <w:rsid w:val="3CC5312C"/>
    <w:rsid w:val="3CFC0724"/>
    <w:rsid w:val="3E1C72D0"/>
    <w:rsid w:val="3F404F15"/>
    <w:rsid w:val="3F43263A"/>
    <w:rsid w:val="3F7F1EE6"/>
    <w:rsid w:val="3FB3349B"/>
    <w:rsid w:val="3FBE7B70"/>
    <w:rsid w:val="3FCC6A38"/>
    <w:rsid w:val="40AF0771"/>
    <w:rsid w:val="4146669A"/>
    <w:rsid w:val="417E279D"/>
    <w:rsid w:val="419B675D"/>
    <w:rsid w:val="41D568B6"/>
    <w:rsid w:val="41FA16A1"/>
    <w:rsid w:val="42470EE3"/>
    <w:rsid w:val="427F63AB"/>
    <w:rsid w:val="42CE479E"/>
    <w:rsid w:val="43947908"/>
    <w:rsid w:val="43CE3B25"/>
    <w:rsid w:val="44125642"/>
    <w:rsid w:val="44307631"/>
    <w:rsid w:val="449D27EC"/>
    <w:rsid w:val="452F2236"/>
    <w:rsid w:val="45DC10F2"/>
    <w:rsid w:val="46076E12"/>
    <w:rsid w:val="465A6BE7"/>
    <w:rsid w:val="46AC563D"/>
    <w:rsid w:val="46DE5095"/>
    <w:rsid w:val="46EA56DB"/>
    <w:rsid w:val="47B9793D"/>
    <w:rsid w:val="496763F9"/>
    <w:rsid w:val="49787384"/>
    <w:rsid w:val="4A513E5D"/>
    <w:rsid w:val="4C7605BE"/>
    <w:rsid w:val="4D361AC0"/>
    <w:rsid w:val="4D3D2DBF"/>
    <w:rsid w:val="4D6C0FAE"/>
    <w:rsid w:val="4DB841F3"/>
    <w:rsid w:val="4DD3102D"/>
    <w:rsid w:val="4E1E5584"/>
    <w:rsid w:val="4F0F42E7"/>
    <w:rsid w:val="4F801FAA"/>
    <w:rsid w:val="4FC47104"/>
    <w:rsid w:val="4FE3167A"/>
    <w:rsid w:val="5008372D"/>
    <w:rsid w:val="50354221"/>
    <w:rsid w:val="504B439D"/>
    <w:rsid w:val="50A2159F"/>
    <w:rsid w:val="51683DC9"/>
    <w:rsid w:val="519A0A44"/>
    <w:rsid w:val="51F94284"/>
    <w:rsid w:val="520B5239"/>
    <w:rsid w:val="521A547C"/>
    <w:rsid w:val="538E1C7E"/>
    <w:rsid w:val="53C92EA4"/>
    <w:rsid w:val="53D77AC9"/>
    <w:rsid w:val="54105FA9"/>
    <w:rsid w:val="54387E3C"/>
    <w:rsid w:val="544F3B03"/>
    <w:rsid w:val="546B1FBF"/>
    <w:rsid w:val="54813591"/>
    <w:rsid w:val="54BE1E6E"/>
    <w:rsid w:val="55674E7D"/>
    <w:rsid w:val="566D64C3"/>
    <w:rsid w:val="567C6706"/>
    <w:rsid w:val="56DA4FD5"/>
    <w:rsid w:val="57CE2F91"/>
    <w:rsid w:val="57FF4AD3"/>
    <w:rsid w:val="5898150B"/>
    <w:rsid w:val="58ED4F64"/>
    <w:rsid w:val="59125CCD"/>
    <w:rsid w:val="59914276"/>
    <w:rsid w:val="5A405C9C"/>
    <w:rsid w:val="5A4C63EF"/>
    <w:rsid w:val="5ACE4E7E"/>
    <w:rsid w:val="5AED7BD2"/>
    <w:rsid w:val="5B0D2A4A"/>
    <w:rsid w:val="5B280C0A"/>
    <w:rsid w:val="5B857E0A"/>
    <w:rsid w:val="5BB57FC4"/>
    <w:rsid w:val="5BF47E9F"/>
    <w:rsid w:val="5C4C6B7A"/>
    <w:rsid w:val="5C6A7000"/>
    <w:rsid w:val="5CA80E8B"/>
    <w:rsid w:val="5D6A375C"/>
    <w:rsid w:val="5D6F5ACC"/>
    <w:rsid w:val="5DF6347D"/>
    <w:rsid w:val="5E055233"/>
    <w:rsid w:val="5E1831B8"/>
    <w:rsid w:val="5F424C1C"/>
    <w:rsid w:val="5F776541"/>
    <w:rsid w:val="5FB56512"/>
    <w:rsid w:val="6014399A"/>
    <w:rsid w:val="610C0686"/>
    <w:rsid w:val="61C3168D"/>
    <w:rsid w:val="62522A10"/>
    <w:rsid w:val="62A72D5C"/>
    <w:rsid w:val="634674B5"/>
    <w:rsid w:val="63F33E3E"/>
    <w:rsid w:val="64AC67FC"/>
    <w:rsid w:val="64C74A05"/>
    <w:rsid w:val="64EF3C84"/>
    <w:rsid w:val="65A215B9"/>
    <w:rsid w:val="664136E5"/>
    <w:rsid w:val="673E5311"/>
    <w:rsid w:val="675114E9"/>
    <w:rsid w:val="67C10CC9"/>
    <w:rsid w:val="68012F0F"/>
    <w:rsid w:val="6838196F"/>
    <w:rsid w:val="689478DF"/>
    <w:rsid w:val="691B0000"/>
    <w:rsid w:val="696A0640"/>
    <w:rsid w:val="699B2EEF"/>
    <w:rsid w:val="69BC5FCA"/>
    <w:rsid w:val="69D16911"/>
    <w:rsid w:val="69EB79D2"/>
    <w:rsid w:val="6A233F8B"/>
    <w:rsid w:val="6A9341A4"/>
    <w:rsid w:val="6ACF10A2"/>
    <w:rsid w:val="6B3158B9"/>
    <w:rsid w:val="6B673089"/>
    <w:rsid w:val="6BF72461"/>
    <w:rsid w:val="6C223D70"/>
    <w:rsid w:val="6CFD2511"/>
    <w:rsid w:val="6D2D3E5E"/>
    <w:rsid w:val="6D617FAC"/>
    <w:rsid w:val="6DF606F4"/>
    <w:rsid w:val="6E3B07FD"/>
    <w:rsid w:val="6E535802"/>
    <w:rsid w:val="6EAE5D06"/>
    <w:rsid w:val="6F2474E3"/>
    <w:rsid w:val="6F302529"/>
    <w:rsid w:val="70652415"/>
    <w:rsid w:val="714125CE"/>
    <w:rsid w:val="719C0973"/>
    <w:rsid w:val="723F6C66"/>
    <w:rsid w:val="7375030D"/>
    <w:rsid w:val="73D04618"/>
    <w:rsid w:val="7419028F"/>
    <w:rsid w:val="749E5641"/>
    <w:rsid w:val="74A0760B"/>
    <w:rsid w:val="74E93EF8"/>
    <w:rsid w:val="75173060"/>
    <w:rsid w:val="75386324"/>
    <w:rsid w:val="756E3266"/>
    <w:rsid w:val="75A269D8"/>
    <w:rsid w:val="762B73A9"/>
    <w:rsid w:val="764741E2"/>
    <w:rsid w:val="76D213DD"/>
    <w:rsid w:val="76E235ED"/>
    <w:rsid w:val="77A950A4"/>
    <w:rsid w:val="77EB54E8"/>
    <w:rsid w:val="78511348"/>
    <w:rsid w:val="787F5B21"/>
    <w:rsid w:val="78C46D30"/>
    <w:rsid w:val="78DD47D4"/>
    <w:rsid w:val="793C0FB8"/>
    <w:rsid w:val="7997722F"/>
    <w:rsid w:val="7A4647B1"/>
    <w:rsid w:val="7A747570"/>
    <w:rsid w:val="7C3961B3"/>
    <w:rsid w:val="7CE107C1"/>
    <w:rsid w:val="7D781125"/>
    <w:rsid w:val="7DC6513C"/>
    <w:rsid w:val="7EC93675"/>
    <w:rsid w:val="7ED00AED"/>
    <w:rsid w:val="7F1B7FBA"/>
    <w:rsid w:val="7F4E65E2"/>
    <w:rsid w:val="7F6406A7"/>
    <w:rsid w:val="7F8746E3"/>
    <w:rsid w:val="7FEC7837"/>
    <w:rsid w:val="983C58FE"/>
    <w:rsid w:val="BF2F3B23"/>
    <w:rsid w:val="C3E7B6C7"/>
    <w:rsid w:val="EBFD7011"/>
    <w:rsid w:val="FDCA88E5"/>
    <w:rsid w:val="FDF2B5D4"/>
    <w:rsid w:val="FFFDC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link w:val="24"/>
    <w:autoRedefine/>
    <w:unhideWhenUsed/>
    <w:qFormat/>
    <w:uiPriority w:val="9"/>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Normal Indent"/>
    <w:basedOn w:val="1"/>
    <w:autoRedefine/>
    <w:qFormat/>
    <w:uiPriority w:val="0"/>
    <w:pPr>
      <w:autoSpaceDE w:val="0"/>
      <w:autoSpaceDN w:val="0"/>
      <w:adjustRightInd w:val="0"/>
      <w:ind w:firstLine="420"/>
      <w:jc w:val="left"/>
    </w:pPr>
    <w:rPr>
      <w:sz w:val="24"/>
    </w:rPr>
  </w:style>
  <w:style w:type="paragraph" w:styleId="5">
    <w:name w:val="annotation text"/>
    <w:basedOn w:val="1"/>
    <w:link w:val="17"/>
    <w:autoRedefine/>
    <w:semiHidden/>
    <w:unhideWhenUsed/>
    <w:qFormat/>
    <w:uiPriority w:val="99"/>
    <w:pPr>
      <w:jc w:val="left"/>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autoRedefine/>
    <w:semiHidden/>
    <w:unhideWhenUsed/>
    <w:qFormat/>
    <w:uiPriority w:val="99"/>
    <w:rPr>
      <w:b/>
      <w:bCs/>
    </w:rPr>
  </w:style>
  <w:style w:type="table" w:styleId="11">
    <w:name w:val="Table Grid"/>
    <w:basedOn w:val="1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99"/>
    <w:rPr>
      <w:sz w:val="21"/>
      <w:szCs w:val="21"/>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批注文字 字符"/>
    <w:basedOn w:val="12"/>
    <w:link w:val="5"/>
    <w:autoRedefine/>
    <w:semiHidden/>
    <w:qFormat/>
    <w:uiPriority w:val="99"/>
    <w:rPr>
      <w:kern w:val="2"/>
      <w:sz w:val="21"/>
      <w:szCs w:val="22"/>
    </w:rPr>
  </w:style>
  <w:style w:type="character" w:customStyle="1" w:styleId="18">
    <w:name w:val="批注主题 字符"/>
    <w:basedOn w:val="17"/>
    <w:link w:val="9"/>
    <w:autoRedefine/>
    <w:semiHidden/>
    <w:qFormat/>
    <w:uiPriority w:val="99"/>
    <w:rPr>
      <w:b/>
      <w:bCs/>
      <w:kern w:val="2"/>
      <w:sz w:val="21"/>
      <w:szCs w:val="22"/>
    </w:rPr>
  </w:style>
  <w:style w:type="character" w:customStyle="1" w:styleId="19">
    <w:name w:val="批注框文本 字符"/>
    <w:basedOn w:val="12"/>
    <w:link w:val="6"/>
    <w:autoRedefine/>
    <w:semiHidden/>
    <w:qFormat/>
    <w:uiPriority w:val="99"/>
    <w:rPr>
      <w:kern w:val="2"/>
      <w:sz w:val="18"/>
      <w:szCs w:val="18"/>
    </w:rPr>
  </w:style>
  <w:style w:type="paragraph" w:customStyle="1" w:styleId="20">
    <w:name w:val="_Style 1"/>
    <w:basedOn w:val="1"/>
    <w:autoRedefine/>
    <w:qFormat/>
    <w:uiPriority w:val="34"/>
    <w:pPr>
      <w:ind w:firstLine="420" w:firstLineChars="200"/>
    </w:pPr>
    <w:rPr>
      <w:szCs w:val="24"/>
    </w:rPr>
  </w:style>
  <w:style w:type="paragraph" w:customStyle="1" w:styleId="21">
    <w:name w:val="_Style 17"/>
    <w:basedOn w:val="1"/>
    <w:autoRedefine/>
    <w:qFormat/>
    <w:uiPriority w:val="34"/>
    <w:pPr>
      <w:ind w:firstLine="420" w:firstLineChars="200"/>
    </w:pPr>
    <w:rPr>
      <w:rFonts w:ascii="Calibri" w:hAnsi="Calibri"/>
    </w:rPr>
  </w:style>
  <w:style w:type="paragraph" w:customStyle="1" w:styleId="22">
    <w:name w:val="表格文字"/>
    <w:autoRedefine/>
    <w:qFormat/>
    <w:uiPriority w:val="0"/>
    <w:pPr>
      <w:widowControl w:val="0"/>
      <w:spacing w:before="25" w:after="25"/>
    </w:pPr>
    <w:rPr>
      <w:rFonts w:ascii="Times New Roman" w:hAnsi="Times New Roman" w:eastAsia="宋体" w:cs="Times New Roman"/>
      <w:bCs/>
      <w:spacing w:val="10"/>
      <w:sz w:val="24"/>
      <w:lang w:val="en-US" w:eastAsia="zh-CN" w:bidi="ar-SA"/>
    </w:rPr>
  </w:style>
  <w:style w:type="paragraph" w:customStyle="1" w:styleId="23">
    <w:name w:val="正文格式"/>
    <w:autoRedefine/>
    <w:qFormat/>
    <w:uiPriority w:val="99"/>
    <w:pPr>
      <w:widowControl w:val="0"/>
      <w:snapToGrid w:val="0"/>
      <w:spacing w:line="579" w:lineRule="exact"/>
      <w:ind w:firstLine="560" w:firstLineChars="200"/>
      <w:jc w:val="both"/>
    </w:pPr>
    <w:rPr>
      <w:rFonts w:ascii="仿宋_GB2312" w:hAnsi="Times New Roman" w:eastAsia="仿宋_GB2312" w:cs="Times New Roman"/>
      <w:sz w:val="28"/>
      <w:szCs w:val="28"/>
      <w:lang w:val="en-US" w:eastAsia="zh-CN" w:bidi="ar-SA"/>
    </w:rPr>
  </w:style>
  <w:style w:type="character" w:customStyle="1" w:styleId="24">
    <w:name w:val="标题 4 字符"/>
    <w:basedOn w:val="12"/>
    <w:link w:val="3"/>
    <w:autoRedefine/>
    <w:qFormat/>
    <w:uiPriority w:val="9"/>
    <w:rPr>
      <w:rFonts w:ascii="Arial" w:hAnsi="Arial" w:eastAsia="黑体"/>
      <w:b/>
      <w:kern w:val="2"/>
      <w:sz w:val="28"/>
      <w:szCs w:val="22"/>
    </w:rPr>
  </w:style>
  <w:style w:type="paragraph" w:customStyle="1" w:styleId="25">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43</Pages>
  <Words>7880</Words>
  <Characters>8117</Characters>
  <Lines>427</Lines>
  <Paragraphs>192</Paragraphs>
  <TotalTime>1</TotalTime>
  <ScaleCrop>false</ScaleCrop>
  <LinksUpToDate>false</LinksUpToDate>
  <CharactersWithSpaces>15805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2024-01-05T01:39:00Z</dcterms:created>
  <dc:creator>123</dc:creator>
  <cp:lastModifiedBy>Administrator</cp:lastModifiedBy>
  <cp:lastPrinted>2020-08-14T02:05:00Z</cp:lastPrinted>
  <dcterms:modified xsi:type="dcterms:W3CDTF">2024-01-10T07:21:51Z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2B2176F2510641899BD971F576D44D9A_12</vt:lpwstr>
  </property>
</Properties>
</file>