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全自动蛋白质印迹杂交系统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第一部分</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全自动蛋白质印迹杂交系统</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lang w:val="en-US" w:eastAsia="zh-CN"/>
        </w:rPr>
        <w:t>18</w:t>
      </w:r>
      <w:r>
        <w:rPr>
          <w:rFonts w:hint="eastAsia" w:ascii="Times New Roman" w:hAnsi="Times New Roman" w:eastAsia="黑体" w:cs="Times New Roman"/>
          <w:kern w:val="2"/>
          <w:sz w:val="28"/>
          <w:szCs w:val="28"/>
          <w:u w:val="single"/>
        </w:rPr>
        <w:t>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bookmarkStart w:id="0" w:name="_GoBack" w:colFirst="2" w:colLast="4"/>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全自动蛋白质印迹杂交系统</w:t>
            </w:r>
          </w:p>
        </w:tc>
        <w:tc>
          <w:tcPr>
            <w:tcW w:w="1667" w:type="pct"/>
            <w:shd w:val="clear" w:color="auto" w:fill="auto"/>
            <w:vAlign w:val="center"/>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vAlign w:val="center"/>
          </w:tcPr>
          <w:p>
            <w:pPr>
              <w:adjustRightInd w:val="0"/>
              <w:snapToGrid w:val="0"/>
              <w:spacing w:line="400" w:lineRule="exact"/>
              <w:jc w:val="center"/>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val="en-US" w:eastAsia="zh-CN"/>
              </w:rPr>
              <w:t>1</w:t>
            </w:r>
          </w:p>
        </w:tc>
        <w:tc>
          <w:tcPr>
            <w:tcW w:w="837" w:type="pct"/>
            <w:shd w:val="clear" w:color="auto" w:fill="auto"/>
            <w:vAlign w:val="center"/>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套</w:t>
            </w:r>
          </w:p>
        </w:tc>
      </w:tr>
      <w:bookmarkEnd w:id="0"/>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2024年5月8日。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2024年5月15日12时00分（北京时间）。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eastAsia="仿宋_GB2312" w:cs="Times New Roman"/>
                <w:kern w:val="2"/>
                <w:sz w:val="24"/>
                <w:szCs w:val="24"/>
              </w:rPr>
              <w:t>全自动蛋白质印迹杂交系统</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套</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lang w:val="en-US" w:eastAsia="zh-CN"/>
              </w:rPr>
              <w:t>1</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Times New Roman" w:hAnsi="Times New Roman" w:cs="Times New Roman"/>
                <w:kern w:val="2"/>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after="0" w:line="579"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自动化完成免疫印迹试验(western blot，WB)封闭、抗体孵育、洗膜等一系列繁琐过程。</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所供产品符合国家和国际行业标准。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p>
      <w:pPr>
        <w:pStyle w:val="18"/>
        <w:spacing w:after="0" w:line="579"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所供产品需满足以下技术参数：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pPr>
            <w:r>
              <w:rPr>
                <w:rFonts w:hint="eastAsia"/>
              </w:rPr>
              <w:t>样品槽数量≥6个，可同时进行≥6组不同的一抗/二抗实验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rPr>
              <w:t>可同时进行≥12张膜的自动化处理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开放的系统设计，无需专用的试剂耗材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样品槽尺寸标配： 10 × 8 cm或10× 4cm；大型样品槽可选：15 ×10cm，用于大膜孵育；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rPr>
              <w:t>支持膜范围至少完全覆盖2.5-14（长度）×9cm，涵盖实验室所有尺寸的样品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参数6</w:t>
            </w:r>
          </w:p>
        </w:tc>
        <w:tc>
          <w:tcPr>
            <w:tcW w:w="5991" w:type="dxa"/>
            <w:vAlign w:val="center"/>
          </w:tcPr>
          <w:p>
            <w:pPr>
              <w:snapToGrid w:val="0"/>
              <w:rPr>
                <w:rFonts w:hint="eastAsia"/>
              </w:rPr>
            </w:pPr>
            <w:r>
              <w:rPr>
                <w:rFonts w:hint="eastAsia"/>
              </w:rPr>
              <w:t>自动完成一抗的回收，可重复使用；可选择性回收封闭液和二抗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rPr>
              <w:t>试剂管路固定、内置在仪器内部，无需配备额外的试管容器和试管架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rPr>
              <w:t>触摸屏程序编写，可设定≥100个步骤，每个步骤的参数可调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rPr>
              <w:t>支持多色荧光WB实验及近红外荧光WB实验，实现荧光二抗的长时间孵育，减少荧光猝灭发生，有效保持荧光试剂的稳定性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rPr>
                <w:rFonts w:ascii="宋体" w:hAnsi="宋体"/>
              </w:rPr>
            </w:pPr>
            <w:r>
              <w:rPr>
                <w:rFonts w:hint="eastAsia"/>
              </w:rPr>
              <w:t>可整机在4℃冰箱或冷室</w:t>
            </w:r>
            <w:r>
              <w:rPr>
                <w:rFonts w:hint="eastAsia" w:ascii="Times New Roman" w:hAnsi="Times New Roman" w:cs="Times New Roman"/>
              </w:rPr>
              <w:t>中使用，</w:t>
            </w:r>
            <w:r>
              <w:rPr>
                <w:rFonts w:hint="eastAsia"/>
              </w:rPr>
              <w:t>具有震荡功能，确保试剂与膜充分接触，提高封闭、孵育、洗膜效果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w:t>
            </w:r>
          </w:p>
        </w:tc>
        <w:tc>
          <w:tcPr>
            <w:tcW w:w="5991" w:type="dxa"/>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配置1</w:t>
            </w:r>
          </w:p>
        </w:tc>
        <w:tc>
          <w:tcPr>
            <w:tcW w:w="5991" w:type="dxa"/>
            <w:vAlign w:val="center"/>
          </w:tcPr>
          <w:p>
            <w:pPr>
              <w:snapToGrid w:val="0"/>
              <w:rPr>
                <w:rFonts w:ascii="宋体" w:hAnsi="宋体"/>
              </w:rPr>
            </w:pPr>
            <w:r>
              <w:rPr>
                <w:rFonts w:hint="eastAsia" w:ascii="宋体" w:hAnsi="宋体" w:cs="宋体"/>
                <w:kern w:val="2"/>
                <w:sz w:val="24"/>
                <w:szCs w:val="24"/>
                <w:lang w:bidi="ar"/>
              </w:rPr>
              <w:t>主机一台（触摸屏操作）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配置2</w:t>
            </w:r>
          </w:p>
        </w:tc>
        <w:tc>
          <w:tcPr>
            <w:tcW w:w="5991" w:type="dxa"/>
            <w:vAlign w:val="center"/>
          </w:tcPr>
          <w:p>
            <w:pPr>
              <w:snapToGrid w:val="0"/>
              <w:rPr>
                <w:rFonts w:ascii="宋体" w:hAnsi="宋体"/>
              </w:rPr>
            </w:pPr>
            <w:r>
              <w:rPr>
                <w:rFonts w:hint="eastAsia" w:ascii="宋体" w:hAnsi="宋体" w:cs="宋体"/>
                <w:kern w:val="2"/>
                <w:sz w:val="24"/>
                <w:szCs w:val="24"/>
                <w:lang w:bidi="ar"/>
              </w:rPr>
              <w:t>样品槽12个（尺寸可选择）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配置3</w:t>
            </w:r>
          </w:p>
        </w:tc>
        <w:tc>
          <w:tcPr>
            <w:tcW w:w="5991" w:type="dxa"/>
            <w:vAlign w:val="center"/>
          </w:tcPr>
          <w:p>
            <w:pPr>
              <w:snapToGrid w:val="0"/>
              <w:rPr>
                <w:rFonts w:ascii="宋体" w:hAnsi="宋体"/>
              </w:rPr>
            </w:pPr>
            <w:r>
              <w:rPr>
                <w:rFonts w:hint="eastAsia" w:ascii="宋体" w:hAnsi="宋体" w:cs="宋体"/>
                <w:kern w:val="2"/>
                <w:sz w:val="24"/>
                <w:szCs w:val="24"/>
                <w:lang w:bidi="ar"/>
              </w:rPr>
              <w:t>6个一抗回收瓶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配置4</w:t>
            </w:r>
          </w:p>
        </w:tc>
        <w:tc>
          <w:tcPr>
            <w:tcW w:w="5991" w:type="dxa"/>
            <w:vAlign w:val="center"/>
          </w:tcPr>
          <w:p>
            <w:pPr>
              <w:snapToGrid w:val="0"/>
              <w:rPr>
                <w:rFonts w:ascii="宋体" w:hAnsi="宋体"/>
              </w:rPr>
            </w:pPr>
            <w:r>
              <w:rPr>
                <w:rFonts w:hint="eastAsia" w:ascii="宋体" w:hAnsi="宋体" w:cs="宋体"/>
                <w:kern w:val="2"/>
                <w:sz w:val="24"/>
                <w:szCs w:val="24"/>
                <w:lang w:bidi="ar"/>
              </w:rPr>
              <w:t>废液管 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配置5</w:t>
            </w:r>
          </w:p>
        </w:tc>
        <w:tc>
          <w:tcPr>
            <w:tcW w:w="5991" w:type="dxa"/>
            <w:vAlign w:val="center"/>
          </w:tcPr>
          <w:p>
            <w:pPr>
              <w:snapToGrid w:val="0"/>
              <w:rPr>
                <w:rFonts w:ascii="宋体" w:hAnsi="宋体"/>
              </w:rPr>
            </w:pPr>
            <w:r>
              <w:rPr>
                <w:rFonts w:hint="eastAsia" w:ascii="宋体" w:hAnsi="宋体" w:cs="宋体"/>
                <w:kern w:val="2"/>
                <w:sz w:val="24"/>
                <w:szCs w:val="24"/>
                <w:lang w:bidi="ar"/>
              </w:rPr>
              <w:t>电源线 1根</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3.实施方式：成交人按照采购单位的订购数量，按需分批将货物送到采购人指定交货地点。</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（二）售后服务</w:t>
      </w:r>
    </w:p>
    <w:p>
      <w:pPr>
        <w:adjustRightInd w:val="0"/>
        <w:snapToGrid w:val="0"/>
        <w:spacing w:line="480" w:lineRule="exact"/>
        <w:ind w:firstLine="640" w:firstLineChars="200"/>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成交人负责免费包装、运输、安装、调试、培训和服务保障等。自货物验收完毕之日起，货物免费质保期</w:t>
      </w:r>
      <w:r>
        <w:rPr>
          <w:rFonts w:hint="eastAsia" w:ascii="Times New Roman" w:hAnsi="Times New Roman" w:eastAsia="仿宋_GB2312" w:cs="Times New Roman"/>
          <w:kern w:val="2"/>
          <w:sz w:val="32"/>
          <w:szCs w:val="28"/>
          <w:lang w:val="en-US" w:eastAsia="zh-CN"/>
        </w:rPr>
        <w:t>2</w:t>
      </w:r>
      <w:r>
        <w:rPr>
          <w:rFonts w:hint="eastAsia" w:ascii="Times New Roman" w:hAnsi="Times New Roman" w:eastAsia="仿宋_GB2312" w:cs="Times New Roman"/>
          <w:kern w:val="2"/>
          <w:sz w:val="32"/>
          <w:szCs w:val="28"/>
        </w:rPr>
        <w:t>年，在免费质保期内，出现产品质量问题，采购方提出后，成交人应在</w:t>
      </w:r>
      <w:r>
        <w:rPr>
          <w:rFonts w:ascii="Times New Roman" w:hAnsi="Times New Roman" w:eastAsia="仿宋_GB2312" w:cs="Times New Roman"/>
          <w:kern w:val="2"/>
          <w:sz w:val="32"/>
          <w:szCs w:val="28"/>
        </w:rPr>
        <w:t>2</w:t>
      </w:r>
      <w:r>
        <w:rPr>
          <w:rFonts w:hint="eastAsia" w:ascii="Times New Roman" w:hAnsi="Times New Roman" w:eastAsia="仿宋_GB2312" w:cs="Times New Roman"/>
          <w:kern w:val="2"/>
          <w:sz w:val="32"/>
          <w:szCs w:val="28"/>
        </w:rPr>
        <w:t>小时内响应，</w:t>
      </w:r>
      <w:r>
        <w:rPr>
          <w:rFonts w:ascii="Times New Roman" w:hAnsi="Times New Roman" w:eastAsia="仿宋_GB2312" w:cs="Times New Roman"/>
          <w:kern w:val="2"/>
          <w:sz w:val="32"/>
          <w:szCs w:val="28"/>
        </w:rPr>
        <w:t>24</w:t>
      </w:r>
      <w:r>
        <w:rPr>
          <w:rFonts w:hint="eastAsia" w:ascii="Times New Roman" w:hAnsi="Times New Roman" w:eastAsia="仿宋_GB2312" w:cs="Times New Roman"/>
          <w:kern w:val="2"/>
          <w:sz w:val="32"/>
          <w:szCs w:val="28"/>
        </w:rPr>
        <w:t>小时内到达现场提供相关的维修、更换服务。提供终生维护保障，在质保期后，继续提供技术支持服务。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成交人按照采购人的订购数量供货，安装调试完毕，采购人验收合格，签字确认收货后支付合同金额的百分之九十五，余百分之五作为质保金，质保期</w:t>
      </w:r>
      <w:r>
        <w:rPr>
          <w:rFonts w:hint="eastAsia" w:ascii="Times New Roman" w:hAnsi="Times New Roman" w:eastAsia="仿宋_GB2312" w:cs="Times New Roman"/>
          <w:kern w:val="2"/>
          <w:sz w:val="32"/>
          <w:szCs w:val="28"/>
          <w:lang w:val="en-US" w:eastAsia="zh-CN"/>
        </w:rPr>
        <w:t>两</w:t>
      </w:r>
      <w:r>
        <w:rPr>
          <w:rFonts w:ascii="Times New Roman" w:hAnsi="Times New Roman" w:eastAsia="仿宋_GB2312" w:cs="Times New Roman"/>
          <w:kern w:val="2"/>
          <w:sz w:val="32"/>
          <w:szCs w:val="28"/>
        </w:rPr>
        <w:t>年，质保期满后支付剩下的百分之五。</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（四）验收方式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28"/>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Times New Roman" w:hAnsi="Times New Roman" w:eastAsia="仿宋_GB2312" w:cs="Times New Roman"/>
          <w:kern w:val="2"/>
          <w:sz w:val="32"/>
          <w:szCs w:val="28"/>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spacing w:before="194" w:beforeLines="50" w:after="194"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
        <w:gridCol w:w="1225"/>
        <w:gridCol w:w="835"/>
        <w:gridCol w:w="1296"/>
        <w:gridCol w:w="765"/>
        <w:gridCol w:w="978"/>
        <w:gridCol w:w="1047"/>
        <w:gridCol w:w="714"/>
        <w:gridCol w:w="71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生产</w:t>
            </w:r>
            <w:r>
              <w:rPr>
                <w:sz w:val="24"/>
              </w:rPr>
              <w:t>厂家</w:t>
            </w:r>
            <w:r>
              <w:rPr>
                <w:rFonts w:hint="eastAsia"/>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3"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jc w:val="left"/>
              <w:rPr>
                <w:snapToGrid w:val="0"/>
                <w:sz w:val="24"/>
              </w:rPr>
            </w:pPr>
            <w:r>
              <w:rPr>
                <w:sz w:val="24"/>
              </w:rPr>
              <w:t>备注</w:t>
            </w:r>
            <w:r>
              <w:rPr>
                <w:rFonts w:hint="eastAsia"/>
                <w:sz w:val="24"/>
              </w:rPr>
              <w:t>：本表作为物资验收的依据，务必罗列所有产品，并标明生产厂家或品牌、规格型号、单位和数量等。</w:t>
            </w:r>
          </w:p>
        </w:tc>
      </w:tr>
    </w:tbl>
    <w:p>
      <w:pPr>
        <w:rPr>
          <w:snapToGrid w:val="0"/>
          <w:sz w:val="32"/>
          <w:szCs w:val="32"/>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
        <w:rPr>
          <w:lang w:val="zh-CN"/>
        </w:rPr>
      </w:pPr>
    </w:p>
    <w:p>
      <w:pPr>
        <w:rPr>
          <w:b/>
          <w:sz w:val="44"/>
          <w:szCs w:val="44"/>
        </w:rPr>
      </w:pPr>
      <w:r>
        <w:rPr>
          <w:b/>
          <w:sz w:val="44"/>
          <w:szCs w:val="44"/>
        </w:rPr>
        <w:br w:type="page"/>
      </w:r>
    </w:p>
    <w:p>
      <w:pPr>
        <w:spacing w:before="194" w:beforeLines="50" w:after="194"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易损易耗件清单（主要零配件清单）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9"/>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41"/>
        <w:gridCol w:w="1227"/>
        <w:gridCol w:w="7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生产厂家</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1</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kern w:val="0"/>
                <w:szCs w:val="21"/>
              </w:rPr>
              <w:t>5</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r>
              <w:rPr>
                <w:rFonts w:hint="eastAsia" w:asciiTheme="minorEastAsia" w:hAnsiTheme="minorEastAsia" w:eastAsiaTheme="minorEastAsia" w:cstheme="minorEastAsia"/>
                <w:sz w:val="24"/>
              </w:rPr>
              <w:t>6</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bCs/>
                <w:sz w:val="24"/>
              </w:rPr>
            </w:pPr>
          </w:p>
        </w:tc>
        <w:tc>
          <w:tcPr>
            <w:tcW w:w="1241" w:type="dxa"/>
            <w:tcBorders>
              <w:top w:val="single" w:color="auto" w:sz="4" w:space="0"/>
              <w:left w:val="single" w:color="auto" w:sz="4" w:space="0"/>
              <w:bottom w:val="single" w:color="auto" w:sz="4" w:space="0"/>
              <w:right w:val="single" w:color="auto" w:sz="4" w:space="0"/>
            </w:tcBorders>
          </w:tcPr>
          <w:p>
            <w:pPr>
              <w:rPr>
                <w:bCs/>
                <w:sz w:val="24"/>
              </w:rPr>
            </w:pPr>
          </w:p>
        </w:tc>
        <w:tc>
          <w:tcPr>
            <w:tcW w:w="1227" w:type="dxa"/>
            <w:tcBorders>
              <w:top w:val="single" w:color="auto" w:sz="4" w:space="0"/>
              <w:left w:val="single" w:color="auto" w:sz="4" w:space="0"/>
              <w:bottom w:val="single" w:color="auto" w:sz="4" w:space="0"/>
              <w:right w:val="single" w:color="auto" w:sz="4" w:space="0"/>
            </w:tcBorders>
          </w:tcPr>
          <w:p>
            <w:pP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ind w:firstLine="560" w:firstLineChars="200"/>
        <w:rPr>
          <w:bCs/>
          <w:sz w:val="28"/>
          <w:szCs w:val="28"/>
        </w:rPr>
      </w:pP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
          <w:sz w:val="44"/>
          <w:szCs w:val="44"/>
        </w:rPr>
      </w:pPr>
      <w:r>
        <w:rPr>
          <w:b/>
          <w:sz w:val="44"/>
          <w:szCs w:val="44"/>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18DA6CE0"/>
    <w:rsid w:val="1CF739BD"/>
    <w:rsid w:val="1EA164D8"/>
    <w:rsid w:val="206550E2"/>
    <w:rsid w:val="34533777"/>
    <w:rsid w:val="38237904"/>
    <w:rsid w:val="39924BE7"/>
    <w:rsid w:val="47F82897"/>
    <w:rsid w:val="520F333A"/>
    <w:rsid w:val="55346855"/>
    <w:rsid w:val="5F19244E"/>
    <w:rsid w:val="6C844649"/>
    <w:rsid w:val="720E691A"/>
    <w:rsid w:val="75B7070F"/>
    <w:rsid w:val="79B94935"/>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uiPriority w:val="99"/>
    <w:rPr>
      <w:rFonts w:ascii="宋体"/>
      <w:sz w:val="18"/>
      <w:szCs w:val="18"/>
    </w:rPr>
  </w:style>
  <w:style w:type="paragraph" w:styleId="7">
    <w:name w:val="Body Text"/>
    <w:basedOn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uiPriority w:val="0"/>
  </w:style>
  <w:style w:type="character" w:styleId="26">
    <w:name w:val="HTML Definition"/>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uiPriority w:val="0"/>
    <w:rPr>
      <w:rFonts w:hint="default" w:ascii="monospace" w:hAnsi="monospace" w:eastAsia="monospace" w:cs="monospace"/>
      <w:sz w:val="21"/>
      <w:szCs w:val="21"/>
    </w:rPr>
  </w:style>
  <w:style w:type="character" w:styleId="30">
    <w:name w:val="HTML Sample"/>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uiPriority w:val="99"/>
    <w:rPr>
      <w:rFonts w:eastAsia="宋体" w:cs="Times New Roman"/>
      <w:kern w:val="2"/>
      <w:sz w:val="18"/>
      <w:szCs w:val="18"/>
      <w:lang w:val="en-US" w:eastAsia="zh-CN"/>
    </w:rPr>
  </w:style>
  <w:style w:type="character" w:customStyle="1" w:styleId="37">
    <w:name w:val="Char Char1"/>
    <w:basedOn w:val="21"/>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2830</Words>
  <Characters>2907</Characters>
  <Lines>33</Lines>
  <Paragraphs>9</Paragraphs>
  <TotalTime>1</TotalTime>
  <ScaleCrop>false</ScaleCrop>
  <LinksUpToDate>false</LinksUpToDate>
  <CharactersWithSpaces>3142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2024-04-29T16:30:28Z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77F093F1653342AFB2336BC6DFCD2DED_13</vt:lpwstr>
  </property>
</Properties>
</file>