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left"/>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pPr>
        <w:pStyle w:val="13"/>
        <w:rPr>
          <w:rFonts w:hint="eastAsia"/>
          <w:b w:val="0"/>
          <w:bCs w:val="0"/>
          <w:lang w:val="en-US" w:eastAsia="zh-CN"/>
        </w:rPr>
      </w:pPr>
      <w:r>
        <w:rPr>
          <w:rFonts w:hint="eastAsia"/>
          <w:b w:val="0"/>
          <w:bCs w:val="0"/>
          <w:lang w:val="en-US" w:eastAsia="zh-CN"/>
        </w:rPr>
        <w:t>经济要求</w:t>
      </w:r>
    </w:p>
    <w:p>
      <w:pPr>
        <w:rPr>
          <w:rFonts w:hint="default"/>
          <w:lang w:val="en-US" w:eastAsia="zh-CN"/>
        </w:rPr>
      </w:pPr>
    </w:p>
    <w:p>
      <w:pPr>
        <w:pStyle w:val="4"/>
        <w:numPr>
          <w:ilvl w:val="0"/>
          <w:numId w:val="2"/>
        </w:numPr>
        <w:ind w:firstLine="640"/>
        <w:rPr>
          <w:rFonts w:hint="eastAsia"/>
          <w:lang w:val="en-US" w:eastAsia="zh-CN"/>
        </w:rPr>
      </w:pPr>
      <w:r>
        <w:rPr>
          <w:rFonts w:hint="eastAsia"/>
          <w:lang w:val="en-US" w:eastAsia="zh-CN"/>
        </w:rPr>
        <w:t>预算安排</w:t>
      </w:r>
    </w:p>
    <w:p>
      <w:pPr>
        <w:bidi w:val="0"/>
        <w:rPr>
          <w:rFonts w:hint="default"/>
          <w:lang w:val="en-US" w:eastAsia="zh-CN"/>
        </w:rPr>
      </w:pPr>
      <w:r>
        <w:rPr>
          <w:rFonts w:hint="default"/>
          <w:lang w:val="en-US" w:eastAsia="zh-CN"/>
        </w:rPr>
        <w:t>该项目预算</w:t>
      </w:r>
      <w:r>
        <w:rPr>
          <w:rFonts w:hint="eastAsia"/>
          <w:lang w:val="en-US" w:eastAsia="zh-CN"/>
        </w:rPr>
        <w:t>43</w:t>
      </w:r>
      <w:r>
        <w:rPr>
          <w:rFonts w:hint="default"/>
          <w:lang w:val="en-US" w:eastAsia="zh-CN"/>
        </w:rPr>
        <w:t>万元，2022年由上级下达立项批复</w:t>
      </w:r>
      <w:bookmarkStart w:id="1" w:name="_GoBack"/>
      <w:bookmarkEnd w:id="1"/>
      <w:r>
        <w:rPr>
          <w:rFonts w:hint="default"/>
          <w:lang w:val="en-US" w:eastAsia="zh-CN"/>
        </w:rPr>
        <w:t>。结合前期需求调查和专项论证情况，已对该项目预算进行评估，设定最高限价为</w:t>
      </w:r>
      <w:r>
        <w:rPr>
          <w:rFonts w:hint="eastAsia"/>
          <w:lang w:val="en-US" w:eastAsia="zh-CN"/>
        </w:rPr>
        <w:t>43</w:t>
      </w:r>
      <w:r>
        <w:rPr>
          <w:rFonts w:hint="default"/>
          <w:lang w:val="en-US" w:eastAsia="zh-CN"/>
        </w:rPr>
        <w:t>万元</w:t>
      </w:r>
    </w:p>
    <w:p>
      <w:pPr>
        <w:pStyle w:val="4"/>
        <w:numPr>
          <w:ilvl w:val="0"/>
          <w:numId w:val="3"/>
        </w:numPr>
        <w:ind w:firstLine="640"/>
        <w:rPr>
          <w:rFonts w:hint="eastAsia"/>
          <w:lang w:val="en-US" w:eastAsia="zh-CN"/>
        </w:rPr>
      </w:pPr>
      <w:r>
        <w:rPr>
          <w:rFonts w:hint="eastAsia"/>
          <w:lang w:val="en-US" w:eastAsia="zh-CN"/>
        </w:rPr>
        <w:t>标的数量</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413"/>
        <w:gridCol w:w="3468"/>
        <w:gridCol w:w="105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noWrap w:val="0"/>
            <w:vAlign w:val="top"/>
          </w:tcPr>
          <w:p>
            <w:pPr>
              <w:spacing w:line="400" w:lineRule="exact"/>
              <w:ind w:firstLine="0" w:firstLineChars="0"/>
              <w:jc w:val="center"/>
              <w:rPr>
                <w:rFonts w:ascii="Times New Roman" w:hAnsi="Times New Roman" w:eastAsia="宋体" w:cs="Times New Roman"/>
                <w:sz w:val="21"/>
                <w:szCs w:val="21"/>
                <w:lang w:eastAsia="zh-Hans"/>
              </w:rPr>
            </w:pPr>
            <w:r>
              <w:rPr>
                <w:rFonts w:ascii="Times New Roman" w:hAnsi="Times New Roman" w:eastAsia="宋体" w:cs="Times New Roman"/>
                <w:sz w:val="21"/>
                <w:szCs w:val="21"/>
                <w:lang w:eastAsia="zh-Hans"/>
              </w:rPr>
              <w:t>序号</w:t>
            </w:r>
          </w:p>
        </w:tc>
        <w:tc>
          <w:tcPr>
            <w:tcW w:w="1331" w:type="pct"/>
            <w:noWrap w:val="0"/>
            <w:vAlign w:val="top"/>
          </w:tcPr>
          <w:p>
            <w:pPr>
              <w:spacing w:line="400" w:lineRule="exact"/>
              <w:ind w:firstLine="0" w:firstLineChars="0"/>
              <w:jc w:val="center"/>
              <w:rPr>
                <w:rFonts w:ascii="Times New Roman" w:hAnsi="Times New Roman" w:eastAsia="宋体" w:cs="Times New Roman"/>
                <w:sz w:val="21"/>
                <w:szCs w:val="21"/>
                <w:lang w:eastAsia="zh-Hans"/>
              </w:rPr>
            </w:pPr>
            <w:r>
              <w:rPr>
                <w:rFonts w:ascii="Times New Roman" w:hAnsi="Times New Roman" w:eastAsia="宋体" w:cs="Times New Roman"/>
                <w:sz w:val="21"/>
                <w:szCs w:val="21"/>
                <w:lang w:eastAsia="zh-Hans"/>
              </w:rPr>
              <w:t>货物名称</w:t>
            </w:r>
          </w:p>
        </w:tc>
        <w:tc>
          <w:tcPr>
            <w:tcW w:w="1913" w:type="pct"/>
            <w:noWrap w:val="0"/>
            <w:vAlign w:val="top"/>
          </w:tcPr>
          <w:p>
            <w:pPr>
              <w:spacing w:line="400" w:lineRule="exact"/>
              <w:ind w:firstLine="0" w:firstLineChars="0"/>
              <w:jc w:val="center"/>
              <w:rPr>
                <w:rFonts w:ascii="Times New Roman" w:hAnsi="Times New Roman" w:eastAsia="宋体" w:cs="Times New Roman"/>
                <w:color w:val="000000"/>
                <w:sz w:val="21"/>
                <w:szCs w:val="21"/>
                <w:lang w:eastAsia="zh-Hans"/>
              </w:rPr>
            </w:pPr>
            <w:r>
              <w:rPr>
                <w:rFonts w:ascii="Times New Roman" w:hAnsi="Times New Roman" w:eastAsia="宋体" w:cs="Times New Roman"/>
                <w:color w:val="000000"/>
                <w:sz w:val="21"/>
                <w:szCs w:val="21"/>
                <w:lang w:eastAsia="zh-Hans"/>
              </w:rPr>
              <w:t>规格与型号</w:t>
            </w:r>
          </w:p>
        </w:tc>
        <w:tc>
          <w:tcPr>
            <w:tcW w:w="582" w:type="pct"/>
            <w:noWrap w:val="0"/>
            <w:vAlign w:val="top"/>
          </w:tcPr>
          <w:p>
            <w:pPr>
              <w:spacing w:line="400" w:lineRule="exact"/>
              <w:ind w:firstLine="0" w:firstLineChars="0"/>
              <w:jc w:val="center"/>
              <w:rPr>
                <w:rFonts w:ascii="Times New Roman" w:hAnsi="Times New Roman" w:eastAsia="宋体" w:cs="Times New Roman"/>
                <w:color w:val="000000"/>
                <w:sz w:val="21"/>
                <w:szCs w:val="21"/>
                <w:lang w:eastAsia="zh-Hans"/>
              </w:rPr>
            </w:pPr>
            <w:r>
              <w:rPr>
                <w:rFonts w:ascii="Times New Roman" w:hAnsi="Times New Roman" w:eastAsia="宋体" w:cs="Times New Roman"/>
                <w:color w:val="000000"/>
                <w:sz w:val="21"/>
                <w:szCs w:val="21"/>
                <w:lang w:eastAsia="zh-Hans"/>
              </w:rPr>
              <w:t>单位</w:t>
            </w:r>
          </w:p>
        </w:tc>
        <w:tc>
          <w:tcPr>
            <w:tcW w:w="778" w:type="pct"/>
            <w:noWrap w:val="0"/>
            <w:vAlign w:val="top"/>
          </w:tcPr>
          <w:p>
            <w:pPr>
              <w:spacing w:line="400" w:lineRule="exact"/>
              <w:ind w:firstLine="0" w:firstLineChars="0"/>
              <w:jc w:val="center"/>
              <w:rPr>
                <w:rFonts w:ascii="Times New Roman" w:hAnsi="Times New Roman" w:eastAsia="宋体" w:cs="Times New Roman"/>
                <w:color w:val="000000"/>
                <w:sz w:val="21"/>
                <w:szCs w:val="21"/>
                <w:lang w:eastAsia="zh-Hans"/>
              </w:rPr>
            </w:pPr>
            <w:r>
              <w:rPr>
                <w:rFonts w:ascii="Times New Roman" w:hAnsi="Times New Roman" w:eastAsia="宋体" w:cs="Times New Roman"/>
                <w:color w:val="000000"/>
                <w:sz w:val="21"/>
                <w:szCs w:val="21"/>
                <w:lang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noWrap w:val="0"/>
            <w:vAlign w:val="center"/>
          </w:tcPr>
          <w:p>
            <w:pPr>
              <w:spacing w:line="40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331" w:type="pct"/>
            <w:noWrap w:val="0"/>
            <w:vAlign w:val="center"/>
          </w:tcPr>
          <w:p>
            <w:pPr>
              <w:spacing w:line="400" w:lineRule="exact"/>
              <w:ind w:firstLine="0" w:firstLineChars="0"/>
              <w:jc w:val="center"/>
              <w:rPr>
                <w:rFonts w:ascii="Times New Roman" w:hAnsi="Times New Roman" w:eastAsia="宋体" w:cs="Times New Roman"/>
                <w:color w:val="000000"/>
                <w:sz w:val="21"/>
                <w:szCs w:val="21"/>
              </w:rPr>
            </w:pPr>
            <w:bookmarkStart w:id="0" w:name="_Hlk156378252"/>
            <w:r>
              <w:rPr>
                <w:rFonts w:ascii="Times New Roman" w:hAnsi="Times New Roman" w:eastAsia="宋体" w:cs="Times New Roman"/>
                <w:color w:val="000000"/>
                <w:sz w:val="21"/>
                <w:szCs w:val="21"/>
              </w:rPr>
              <w:t>全自动扫描仪</w:t>
            </w:r>
          </w:p>
          <w:bookmarkEnd w:id="0"/>
          <w:p>
            <w:pPr>
              <w:spacing w:line="400" w:lineRule="exact"/>
              <w:ind w:firstLine="0" w:firstLineChars="0"/>
              <w:jc w:val="center"/>
              <w:rPr>
                <w:rFonts w:ascii="Times New Roman" w:hAnsi="Times New Roman" w:eastAsia="宋体" w:cs="Times New Roman"/>
                <w:sz w:val="21"/>
                <w:szCs w:val="21"/>
                <w:lang w:eastAsia="zh-Hans"/>
              </w:rPr>
            </w:pPr>
            <w:r>
              <w:rPr>
                <w:rFonts w:ascii="Times New Roman" w:hAnsi="Times New Roman" w:eastAsia="宋体" w:cs="Times New Roman"/>
                <w:color w:val="000000"/>
                <w:sz w:val="21"/>
                <w:szCs w:val="21"/>
              </w:rPr>
              <w:t>（含阅读软件客户端）</w:t>
            </w:r>
          </w:p>
        </w:tc>
        <w:tc>
          <w:tcPr>
            <w:tcW w:w="1913" w:type="pct"/>
            <w:noWrap w:val="0"/>
            <w:vAlign w:val="center"/>
          </w:tcPr>
          <w:p>
            <w:pPr>
              <w:spacing w:line="40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对纸质文献资源的扫描、加工及OCR转化并配备阅读客户端</w:t>
            </w:r>
          </w:p>
        </w:tc>
        <w:tc>
          <w:tcPr>
            <w:tcW w:w="582" w:type="pct"/>
            <w:noWrap w:val="0"/>
            <w:vAlign w:val="center"/>
          </w:tcPr>
          <w:p>
            <w:pPr>
              <w:spacing w:line="40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台</w:t>
            </w:r>
          </w:p>
        </w:tc>
        <w:tc>
          <w:tcPr>
            <w:tcW w:w="778" w:type="pct"/>
            <w:noWrap w:val="0"/>
            <w:vAlign w:val="center"/>
          </w:tcPr>
          <w:p>
            <w:pPr>
              <w:spacing w:line="400" w:lineRule="exact"/>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r>
    </w:tbl>
    <w:p>
      <w:pPr>
        <w:pStyle w:val="4"/>
        <w:numPr>
          <w:ilvl w:val="0"/>
          <w:numId w:val="3"/>
        </w:numPr>
        <w:ind w:firstLine="640"/>
        <w:rPr>
          <w:rFonts w:hint="default"/>
          <w:lang w:val="en-US" w:eastAsia="zh-CN"/>
        </w:rPr>
      </w:pPr>
      <w:r>
        <w:rPr>
          <w:rFonts w:hint="eastAsia"/>
          <w:lang w:val="en-US" w:eastAsia="zh-CN"/>
        </w:rPr>
        <w:t>交付实施要求</w:t>
      </w:r>
    </w:p>
    <w:p>
      <w:pPr>
        <w:rPr>
          <w:rFonts w:hint="default"/>
          <w:lang w:val="en-US" w:eastAsia="zh-CN"/>
        </w:rPr>
      </w:pPr>
      <w:r>
        <w:rPr>
          <w:rFonts w:hint="default"/>
          <w:lang w:val="en-US" w:eastAsia="zh-CN"/>
        </w:rPr>
        <w:t>自合同签订生效之日起，</w:t>
      </w:r>
      <w:r>
        <w:rPr>
          <w:rFonts w:hint="eastAsia"/>
          <w:lang w:val="en-US" w:eastAsia="zh-CN"/>
        </w:rPr>
        <w:t>30</w:t>
      </w:r>
      <w:r>
        <w:rPr>
          <w:rFonts w:hint="default"/>
          <w:lang w:val="en-US" w:eastAsia="zh-CN"/>
        </w:rPr>
        <w:t>天内完成设备安装，</w:t>
      </w:r>
      <w:r>
        <w:rPr>
          <w:rFonts w:hint="eastAsia"/>
          <w:lang w:val="en-US" w:eastAsia="zh-CN"/>
        </w:rPr>
        <w:t>45</w:t>
      </w:r>
      <w:r>
        <w:rPr>
          <w:rFonts w:hint="default"/>
          <w:lang w:val="en-US" w:eastAsia="zh-CN"/>
        </w:rPr>
        <w:t>天内完成</w:t>
      </w:r>
      <w:r>
        <w:rPr>
          <w:rFonts w:hint="eastAsia"/>
          <w:lang w:val="en-US" w:eastAsia="zh-CN"/>
        </w:rPr>
        <w:t>测试</w:t>
      </w:r>
      <w:r>
        <w:rPr>
          <w:rFonts w:hint="default"/>
          <w:lang w:val="en-US" w:eastAsia="zh-CN"/>
        </w:rPr>
        <w:t>及验收，交付地点为</w:t>
      </w:r>
      <w:r>
        <w:rPr>
          <w:rFonts w:hint="eastAsia"/>
          <w:lang w:val="en-US" w:eastAsia="zh-CN"/>
        </w:rPr>
        <w:t>重庆市沙坪坝区</w:t>
      </w:r>
      <w:r>
        <w:rPr>
          <w:rFonts w:hint="default"/>
          <w:lang w:val="en-US" w:eastAsia="zh-CN"/>
        </w:rPr>
        <w:t>。</w:t>
      </w:r>
    </w:p>
    <w:p>
      <w:pPr>
        <w:pStyle w:val="4"/>
        <w:numPr>
          <w:ilvl w:val="0"/>
          <w:numId w:val="3"/>
        </w:numPr>
        <w:ind w:firstLine="640"/>
        <w:rPr>
          <w:rFonts w:hint="default"/>
          <w:lang w:val="en-US" w:eastAsia="zh-CN"/>
        </w:rPr>
      </w:pPr>
      <w:r>
        <w:rPr>
          <w:rFonts w:hint="eastAsia"/>
          <w:lang w:val="en-US" w:eastAsia="zh-CN"/>
        </w:rPr>
        <w:t>质量保证和售后服务</w:t>
      </w:r>
    </w:p>
    <w:p>
      <w:pPr>
        <w:rPr>
          <w:rFonts w:hint="default"/>
          <w:lang w:val="en-US" w:eastAsia="zh-CN"/>
        </w:rPr>
      </w:pPr>
      <w:r>
        <w:rPr>
          <w:rFonts w:hint="default"/>
          <w:lang w:val="en-US" w:eastAsia="zh-CN"/>
        </w:rPr>
        <w:t>1.履约保证金和质量保证金</w:t>
      </w:r>
    </w:p>
    <w:p>
      <w:pPr>
        <w:rPr>
          <w:rFonts w:hint="default"/>
          <w:highlight w:val="none"/>
          <w:lang w:val="en-US" w:eastAsia="zh-CN"/>
        </w:rPr>
      </w:pPr>
      <w:r>
        <w:rPr>
          <w:rFonts w:hint="eastAsia"/>
          <w:highlight w:val="none"/>
          <w:lang w:val="en-US" w:eastAsia="zh-CN"/>
        </w:rPr>
        <w:t>本项目尾款5%作为质量保证金</w:t>
      </w:r>
      <w:r>
        <w:rPr>
          <w:rFonts w:hint="default"/>
          <w:highlight w:val="none"/>
          <w:lang w:val="en-US" w:eastAsia="zh-CN"/>
        </w:rPr>
        <w:t>，质量保证金在质保期满且无质量问题时全额无息退还。</w:t>
      </w:r>
    </w:p>
    <w:p>
      <w:pPr>
        <w:rPr>
          <w:rFonts w:hint="default"/>
          <w:lang w:val="en-US" w:eastAsia="zh-CN"/>
        </w:rPr>
      </w:pPr>
      <w:r>
        <w:rPr>
          <w:rFonts w:hint="default"/>
          <w:lang w:val="en-US" w:eastAsia="zh-CN"/>
        </w:rPr>
        <w:t>2.售后服务</w:t>
      </w:r>
    </w:p>
    <w:p>
      <w:pPr>
        <w:rPr>
          <w:rFonts w:hint="default"/>
          <w:lang w:val="en-US" w:eastAsia="zh-CN"/>
        </w:rPr>
      </w:pPr>
      <w:r>
        <w:rPr>
          <w:rFonts w:hint="default"/>
          <w:lang w:val="en-US" w:eastAsia="zh-CN"/>
        </w:rPr>
        <w:t>①质量保证期：自交货验收完毕之日起，所有产品质保</w:t>
      </w:r>
      <w:r>
        <w:rPr>
          <w:rFonts w:hint="eastAsia"/>
          <w:lang w:val="en-US" w:eastAsia="zh-CN"/>
        </w:rPr>
        <w:t>36</w:t>
      </w:r>
      <w:r>
        <w:rPr>
          <w:rFonts w:hint="default"/>
          <w:lang w:val="en-US" w:eastAsia="zh-CN"/>
        </w:rPr>
        <w:t>个月。投标供应商对提供的物资在质保期内，因产品质量而导致的缺陷，应当免费提供包修、包换、包退服务，因此导致的损失采购单位有权向中标供应商追偿。</w:t>
      </w:r>
    </w:p>
    <w:p>
      <w:pPr>
        <w:rPr>
          <w:rFonts w:hint="default"/>
          <w:lang w:val="en-US" w:eastAsia="zh-CN"/>
        </w:rPr>
      </w:pPr>
      <w:r>
        <w:rPr>
          <w:rFonts w:hint="default"/>
          <w:lang w:val="en-US" w:eastAsia="zh-CN"/>
        </w:rPr>
        <w:t>②投标供应商应当承诺提供该物资的技术培训、技术支持和维修巡检服务，</w:t>
      </w:r>
      <w:r>
        <w:rPr>
          <w:rFonts w:hint="default"/>
          <w:color w:val="auto"/>
          <w:highlight w:val="none"/>
          <w:lang w:val="en-US" w:eastAsia="zh-CN"/>
        </w:rPr>
        <w:t>服务内容包括安装培训</w:t>
      </w:r>
      <w:r>
        <w:rPr>
          <w:rFonts w:hint="eastAsia"/>
          <w:color w:val="auto"/>
          <w:highlight w:val="none"/>
          <w:lang w:val="en-US" w:eastAsia="zh-CN"/>
        </w:rPr>
        <w:t>、</w:t>
      </w:r>
      <w:r>
        <w:rPr>
          <w:rFonts w:hint="default"/>
          <w:color w:val="auto"/>
          <w:highlight w:val="none"/>
          <w:lang w:val="en-US" w:eastAsia="zh-CN"/>
        </w:rPr>
        <w:t>定期免费巡检</w:t>
      </w:r>
      <w:r>
        <w:rPr>
          <w:rFonts w:hint="eastAsia"/>
          <w:color w:val="auto"/>
          <w:highlight w:val="none"/>
          <w:lang w:val="en-US" w:eastAsia="zh-CN"/>
        </w:rPr>
        <w:t>、24小时在线支持等</w:t>
      </w:r>
      <w:r>
        <w:rPr>
          <w:rFonts w:hint="default"/>
          <w:color w:val="auto"/>
          <w:highlight w:val="none"/>
          <w:lang w:val="en-US" w:eastAsia="zh-CN"/>
        </w:rPr>
        <w:t>，并</w:t>
      </w:r>
      <w:r>
        <w:rPr>
          <w:rFonts w:hint="default"/>
          <w:lang w:val="en-US" w:eastAsia="zh-CN"/>
        </w:rPr>
        <w:t>在投标文件中提供相应书面方案。根据项目情况，提供产品建档计划等。</w:t>
      </w:r>
    </w:p>
    <w:p>
      <w:pPr>
        <w:rPr>
          <w:rFonts w:hint="default"/>
          <w:lang w:val="en-US" w:eastAsia="zh-CN"/>
        </w:rPr>
      </w:pPr>
      <w:r>
        <w:rPr>
          <w:rFonts w:hint="default"/>
          <w:lang w:val="en-US" w:eastAsia="zh-CN"/>
        </w:rPr>
        <w:t>③硬件是否回收：</w:t>
      </w:r>
      <w:r>
        <w:rPr>
          <w:rFonts w:hint="eastAsia"/>
          <w:lang w:val="en-US" w:eastAsia="zh-CN"/>
        </w:rPr>
        <w:t>不回收</w:t>
      </w:r>
      <w:r>
        <w:rPr>
          <w:rFonts w:hint="default"/>
          <w:lang w:val="en-US" w:eastAsia="zh-CN"/>
        </w:rPr>
        <w:t>。</w:t>
      </w:r>
    </w:p>
    <w:p>
      <w:pPr>
        <w:rPr>
          <w:rFonts w:hint="default"/>
          <w:lang w:val="en-US" w:eastAsia="zh-CN"/>
        </w:rPr>
      </w:pPr>
      <w:r>
        <w:rPr>
          <w:rFonts w:hint="default"/>
          <w:lang w:val="en-US" w:eastAsia="zh-CN"/>
        </w:rPr>
        <w:t>④日常维护及服务标准：定期免费巡检、24小时在线支持等。</w:t>
      </w:r>
    </w:p>
    <w:p>
      <w:pPr>
        <w:rPr>
          <w:rFonts w:hint="default"/>
          <w:lang w:val="en-US" w:eastAsia="zh-CN"/>
        </w:rPr>
      </w:pPr>
      <w:r>
        <w:rPr>
          <w:rFonts w:hint="eastAsia"/>
          <w:lang w:val="en-US" w:eastAsia="zh-CN"/>
        </w:rPr>
        <w:t>★⑤</w:t>
      </w:r>
      <w:r>
        <w:rPr>
          <w:rFonts w:hint="default"/>
          <w:lang w:val="en-US" w:eastAsia="zh-CN"/>
        </w:rPr>
        <w:t>其他服务要求：提供易损耗材及机器可维修部件（如控制器、电机等）价格清单；超出维保期后更换部件费用不能超出原部件价格的120%。</w:t>
      </w:r>
    </w:p>
    <w:p>
      <w:pPr>
        <w:rPr>
          <w:rFonts w:hint="default"/>
          <w:lang w:val="en-US" w:eastAsia="zh-CN"/>
        </w:rPr>
      </w:pPr>
      <w:r>
        <w:rPr>
          <w:rFonts w:hint="default"/>
          <w:lang w:val="en-US" w:eastAsia="zh-CN"/>
        </w:rPr>
        <w:t>备注：以上第1条为通用条款，第2至</w:t>
      </w:r>
      <w:r>
        <w:rPr>
          <w:rFonts w:hint="eastAsia"/>
          <w:lang w:val="en-US" w:eastAsia="zh-CN"/>
        </w:rPr>
        <w:t>5</w:t>
      </w:r>
      <w:r>
        <w:rPr>
          <w:rFonts w:hint="default"/>
          <w:lang w:val="en-US" w:eastAsia="zh-CN"/>
        </w:rPr>
        <w:t>条为特殊条款，质量保证和售后服务不限于上述条款，应根据项目实际和特点合理增减完善。</w:t>
      </w:r>
    </w:p>
    <w:p>
      <w:pPr>
        <w:pStyle w:val="4"/>
        <w:numPr>
          <w:ilvl w:val="0"/>
          <w:numId w:val="3"/>
        </w:numPr>
        <w:ind w:firstLine="640"/>
        <w:rPr>
          <w:rFonts w:hint="default"/>
          <w:lang w:val="en-US" w:eastAsia="zh-CN"/>
        </w:rPr>
      </w:pPr>
      <w:r>
        <w:rPr>
          <w:rFonts w:hint="eastAsia"/>
          <w:lang w:val="en-US" w:eastAsia="zh-CN"/>
        </w:rPr>
        <w:t>付款条件</w:t>
      </w:r>
    </w:p>
    <w:p>
      <w:pPr>
        <w:ind w:firstLine="640"/>
        <w:rPr>
          <w:rFonts w:hint="eastAsia"/>
          <w:lang w:eastAsia="zh-CN"/>
        </w:rPr>
      </w:pPr>
      <w:r>
        <w:rPr>
          <w:rFonts w:hint="eastAsia"/>
        </w:rPr>
        <w:t>本项目不预付货款，物资运达指定地点验收合格后，中标供应商收集发运接收单、发票、验收报告等材料，提交采购单位办理结算手续，采购单位在</w:t>
      </w:r>
      <w:r>
        <w:rPr>
          <w:rFonts w:hint="eastAsia"/>
          <w:lang w:val="en-US" w:eastAsia="zh-CN"/>
        </w:rPr>
        <w:t>30</w:t>
      </w:r>
      <w:r>
        <w:rPr>
          <w:rFonts w:hint="eastAsia"/>
        </w:rPr>
        <w:t>日内向中标供应商支付</w:t>
      </w:r>
      <w:r>
        <w:rPr>
          <w:rFonts w:hint="eastAsia"/>
          <w:lang w:val="en-US" w:eastAsia="zh-CN"/>
        </w:rPr>
        <w:t>95%</w:t>
      </w:r>
      <w:r>
        <w:rPr>
          <w:rFonts w:hint="eastAsia"/>
        </w:rPr>
        <w:t>货款</w:t>
      </w:r>
      <w:r>
        <w:rPr>
          <w:rFonts w:hint="eastAsia"/>
          <w:lang w:eastAsia="zh-CN"/>
        </w:rPr>
        <w:t>，尾款5%作为质量保证金，质量保证金在质保期满且无质量问题时全额无息退还。</w:t>
      </w:r>
    </w:p>
    <w:p>
      <w:pPr>
        <w:pStyle w:val="4"/>
        <w:numPr>
          <w:ilvl w:val="0"/>
          <w:numId w:val="3"/>
        </w:numPr>
        <w:ind w:firstLine="640"/>
      </w:pPr>
      <w:r>
        <w:rPr>
          <w:rFonts w:hint="eastAsia"/>
          <w:lang w:val="en-US" w:eastAsia="zh-CN"/>
        </w:rPr>
        <w:t>包装、运输、专用工具、备品备件、报价要求、保险、                                                                     保密和专利等</w:t>
      </w:r>
    </w:p>
    <w:p>
      <w:pPr>
        <w:ind w:firstLine="640"/>
        <w:rPr>
          <w:rFonts w:hint="eastAsia"/>
          <w:lang w:eastAsia="zh-CN"/>
        </w:rPr>
      </w:pPr>
      <w:r>
        <w:rPr>
          <w:rFonts w:hint="eastAsia"/>
          <w:lang w:eastAsia="zh-CN"/>
        </w:rPr>
        <w:t>1.备品备件</w:t>
      </w:r>
    </w:p>
    <w:p>
      <w:pPr>
        <w:ind w:firstLine="640"/>
        <w:rPr>
          <w:rFonts w:hint="eastAsia"/>
          <w:lang w:eastAsia="zh-CN"/>
        </w:rPr>
      </w:pPr>
      <w:r>
        <w:rPr>
          <w:rFonts w:hint="eastAsia"/>
          <w:lang w:eastAsia="zh-CN"/>
        </w:rPr>
        <w:t>投标供应商应当提供物资生命周期内所需零备件和消耗品清单，并明确供应周期和价格等优惠条件。投标供应商应当承诺，对售后服务需求提供</w:t>
      </w:r>
      <w:r>
        <w:rPr>
          <w:rFonts w:hint="eastAsia"/>
          <w:lang w:val="en-US" w:eastAsia="zh-CN"/>
        </w:rPr>
        <w:t>2</w:t>
      </w:r>
      <w:r>
        <w:rPr>
          <w:rFonts w:hint="eastAsia"/>
          <w:lang w:eastAsia="zh-CN"/>
        </w:rPr>
        <w:t>小时响应，</w:t>
      </w:r>
      <w:r>
        <w:rPr>
          <w:rFonts w:hint="eastAsia"/>
          <w:lang w:val="en-US" w:eastAsia="zh-CN"/>
        </w:rPr>
        <w:t>24</w:t>
      </w:r>
      <w:r>
        <w:rPr>
          <w:rFonts w:hint="eastAsia"/>
          <w:lang w:eastAsia="zh-CN"/>
        </w:rPr>
        <w:t>小时内到达现场实施维修。</w:t>
      </w:r>
      <w:r>
        <w:rPr>
          <w:rFonts w:hint="eastAsia"/>
          <w:lang w:val="en-US" w:eastAsia="zh-CN"/>
        </w:rPr>
        <w:t>42</w:t>
      </w:r>
      <w:r>
        <w:rPr>
          <w:rFonts w:hint="eastAsia"/>
          <w:lang w:eastAsia="zh-CN"/>
        </w:rPr>
        <w:t>小时仍未排除故障、恢复正常运转的，由投标供应商提供同类型备品、备件等。</w:t>
      </w:r>
    </w:p>
    <w:p>
      <w:pPr>
        <w:ind w:firstLine="640"/>
        <w:rPr>
          <w:rFonts w:hint="eastAsia"/>
          <w:lang w:eastAsia="zh-CN"/>
        </w:rPr>
      </w:pPr>
      <w:r>
        <w:rPr>
          <w:rFonts w:hint="eastAsia"/>
          <w:lang w:eastAsia="zh-CN"/>
        </w:rPr>
        <w:t>2.报价要求</w:t>
      </w:r>
    </w:p>
    <w:p>
      <w:pPr>
        <w:ind w:firstLine="640"/>
        <w:rPr>
          <w:rFonts w:hint="eastAsia"/>
          <w:lang w:eastAsia="zh-CN"/>
        </w:rPr>
      </w:pPr>
      <w:r>
        <w:rPr>
          <w:rFonts w:hint="eastAsia"/>
          <w:lang w:eastAsia="zh-CN"/>
        </w:rPr>
        <w:t>报价应当包括货款、标准附件、备品备件、专用工具、包装、安装、调试、培训、保修等费用和税金。</w:t>
      </w:r>
    </w:p>
    <w:p>
      <w:pPr>
        <w:ind w:firstLine="640"/>
        <w:rPr>
          <w:rFonts w:hint="eastAsia"/>
          <w:lang w:eastAsia="zh-CN"/>
        </w:rPr>
      </w:pPr>
      <w:r>
        <w:rPr>
          <w:rFonts w:hint="eastAsia"/>
          <w:lang w:eastAsia="zh-CN"/>
        </w:rPr>
        <w:t>投标供应商对同一种物资只允许有唯一报价，任何有选择的报价或有附加条件的报价，视为无效投标。</w:t>
      </w:r>
    </w:p>
    <w:p>
      <w:pPr>
        <w:ind w:firstLine="640"/>
        <w:rPr>
          <w:rFonts w:hint="eastAsia"/>
          <w:lang w:eastAsia="zh-CN"/>
        </w:rPr>
      </w:pPr>
      <w:r>
        <w:rPr>
          <w:rFonts w:hint="eastAsia"/>
          <w:lang w:eastAsia="zh-CN"/>
        </w:rPr>
        <w:t>3.保密要求</w:t>
      </w:r>
    </w:p>
    <w:p>
      <w:pPr>
        <w:ind w:firstLine="640"/>
        <w:rPr>
          <w:rFonts w:hint="eastAsia"/>
          <w:lang w:eastAsia="zh-CN"/>
        </w:rPr>
      </w:pPr>
      <w:r>
        <w:rPr>
          <w:rFonts w:hint="eastAsia"/>
          <w:lang w:eastAsia="zh-CN"/>
        </w:rPr>
        <w:t>供应商知悉应当承担的保密义务，如违反以下条款，供应商承担一切法律责任，赔偿因违反承诺造成的损失，接受采购单位按照国家和军队有关规定作出的处罚。参与本项目及其合同订立履行的供应商所属员工发生失密泄密的，由供应商承担连带责任：</w:t>
      </w:r>
    </w:p>
    <w:p>
      <w:pPr>
        <w:ind w:firstLine="640"/>
        <w:rPr>
          <w:rFonts w:hint="eastAsia"/>
          <w:lang w:eastAsia="zh-CN"/>
        </w:rPr>
      </w:pPr>
      <w:r>
        <w:rPr>
          <w:rFonts w:hint="eastAsia"/>
          <w:lang w:eastAsia="zh-CN"/>
        </w:rPr>
        <w:t>严格遵守国家和军队保密法规制度要求，制定并严格落实保密管理制度，设置保密部门，配备保密人员，开展保密培训，严格约束所属员工行为，接受和配合采购单位或军方采购管理部门、采购机构组织开展的保密指导和监督检查。</w:t>
      </w:r>
    </w:p>
    <w:p>
      <w:pPr>
        <w:ind w:firstLine="640"/>
        <w:rPr>
          <w:rFonts w:hint="eastAsia"/>
          <w:lang w:eastAsia="zh-CN"/>
        </w:rPr>
      </w:pPr>
      <w:r>
        <w:rPr>
          <w:rFonts w:hint="eastAsia"/>
          <w:lang w:eastAsia="zh-CN"/>
        </w:rPr>
        <w:t>未经采购单位或军方有权单位许可，不以摘抄、复制、告知、公布、出版、传递、转让或以其他任何方式使任何第三方组织和人员知悉本采购项目及其合同订立履行保密信息。采购单位提供的或参与本项目及其合同订立履行获悉的所有信息均视为保密信息，采购单位明确表示无需保密的信息除外。</w:t>
      </w:r>
    </w:p>
    <w:p>
      <w:pPr>
        <w:ind w:firstLine="640"/>
        <w:rPr>
          <w:rFonts w:hint="eastAsia"/>
          <w:lang w:eastAsia="zh-CN"/>
        </w:rPr>
      </w:pPr>
      <w:r>
        <w:rPr>
          <w:rFonts w:hint="eastAsia"/>
          <w:lang w:eastAsia="zh-CN"/>
        </w:rPr>
        <w:t>本采购项目及其合同订立履行保密信息，包括以手写、打印、软件、磁盘、光盘、胶片、图片、音视频或其他可读取方式记载的数据信息和文档资料，实行专人管理、专室专柜存放、定期审核销毁，不擅自复制留存。</w:t>
      </w:r>
    </w:p>
    <w:p>
      <w:pPr>
        <w:ind w:firstLine="640"/>
        <w:rPr>
          <w:rFonts w:hint="eastAsia"/>
          <w:lang w:eastAsia="zh-CN"/>
        </w:rPr>
      </w:pPr>
      <w:r>
        <w:rPr>
          <w:rFonts w:hint="eastAsia"/>
          <w:lang w:eastAsia="zh-CN"/>
        </w:rPr>
        <w:t>不在联接互联网计算机中存储、处理、传递，不通过普通电话、传真、快递等非保密渠道传递本采购项目及其合同订立履行保密信息。</w:t>
      </w:r>
    </w:p>
    <w:p>
      <w:pPr>
        <w:ind w:firstLine="640"/>
        <w:rPr>
          <w:rFonts w:hint="eastAsia"/>
          <w:lang w:eastAsia="zh-CN"/>
        </w:rPr>
      </w:pPr>
      <w:r>
        <w:rPr>
          <w:rFonts w:hint="eastAsia"/>
          <w:lang w:eastAsia="zh-CN"/>
        </w:rPr>
        <w:t>不将本采购项目合同订立履行保密信息作为企业业绩进行公开宣传。本合同履行完毕后，仍继续承担与合同履行期间相同的保密义务。在签订本合同前，供应商已知悉合同履行过程以及合同履行完毕后需要承担的保密义务及其成本，无须采购单位另外支付保密相关费用。</w:t>
      </w:r>
    </w:p>
    <w:p>
      <w:pPr>
        <w:ind w:firstLine="640"/>
        <w:rPr>
          <w:rFonts w:hint="eastAsia"/>
          <w:lang w:eastAsia="zh-CN"/>
        </w:rPr>
      </w:pPr>
      <w:r>
        <w:rPr>
          <w:rFonts w:hint="eastAsia"/>
          <w:lang w:eastAsia="zh-CN"/>
        </w:rPr>
        <w:t>4.专利及知识产权</w:t>
      </w:r>
    </w:p>
    <w:p>
      <w:pPr>
        <w:ind w:firstLine="640"/>
        <w:rPr>
          <w:rFonts w:hint="eastAsia"/>
          <w:lang w:eastAsia="zh-CN"/>
        </w:rPr>
      </w:pPr>
      <w:r>
        <w:rPr>
          <w:rFonts w:hint="eastAsia"/>
          <w:lang w:eastAsia="zh-CN"/>
        </w:rPr>
        <w:t>供应商应当保证采购单位在使用物资和服务时不受第三方提出侵犯其知识产权的指控，对此采购单位不承担任何连带责任或赔偿责任。</w:t>
      </w:r>
    </w:p>
    <w:p>
      <w:pPr>
        <w:ind w:firstLine="640"/>
        <w:rPr>
          <w:rFonts w:hint="eastAsia"/>
          <w:lang w:eastAsia="zh-CN"/>
        </w:rPr>
      </w:pPr>
      <w:r>
        <w:rPr>
          <w:rFonts w:hint="eastAsia"/>
          <w:lang w:eastAsia="zh-CN"/>
        </w:rPr>
        <w:t>基于项目合同履行形成的知识产权和其他权益，其权属归采购单位所有，法律另有规定的除外。</w:t>
      </w:r>
    </w:p>
    <w:p>
      <w:pPr>
        <w:ind w:firstLine="640"/>
        <w:rPr>
          <w:rFonts w:hint="eastAsia"/>
          <w:lang w:eastAsia="zh-CN"/>
        </w:rPr>
      </w:pPr>
      <w:r>
        <w:rPr>
          <w:rFonts w:hint="eastAsia"/>
          <w:b/>
          <w:bCs/>
          <w:lang w:eastAsia="zh-CN"/>
        </w:rPr>
        <w:t>备注：</w:t>
      </w:r>
      <w:r>
        <w:rPr>
          <w:rFonts w:hint="eastAsia"/>
          <w:lang w:eastAsia="zh-CN"/>
        </w:rPr>
        <w:t>以上内容仅供参考，应根据项目实际和特点合理增减完善。</w:t>
      </w:r>
    </w:p>
    <w:p>
      <w:pPr>
        <w:pStyle w:val="4"/>
        <w:numPr>
          <w:ilvl w:val="0"/>
          <w:numId w:val="3"/>
        </w:numPr>
        <w:ind w:firstLine="640"/>
      </w:pPr>
      <w:r>
        <w:rPr>
          <w:rFonts w:hint="eastAsia"/>
          <w:lang w:val="en-US" w:eastAsia="zh-CN"/>
        </w:rPr>
        <w:t>打码贴签</w:t>
      </w:r>
    </w:p>
    <w:p>
      <w:pPr>
        <w:bidi w:val="0"/>
        <w:rPr>
          <w:rFonts w:hint="eastAsia"/>
        </w:rPr>
      </w:pPr>
      <w:r>
        <w:rPr>
          <w:rFonts w:hint="eastAsia"/>
        </w:rPr>
        <w:t>1.乙方应当配合甲方完成合同内采购物资的编目编码工作，按照统一要求，提供物资相关数据信息，配合甲方做好编目数据采集工作。涉密信息应当按照国家、军队安全保密有关规定进行处理，确保不发生失泄密问题。</w:t>
      </w:r>
    </w:p>
    <w:p>
      <w:pPr>
        <w:bidi w:val="0"/>
        <w:rPr>
          <w:rFonts w:hint="eastAsia"/>
        </w:rPr>
      </w:pPr>
      <w:r>
        <w:rPr>
          <w:rFonts w:hint="eastAsia"/>
        </w:rPr>
        <w:t>2.乙方应当按照统一要求在物资交付前完成打码贴签工作。</w:t>
      </w:r>
    </w:p>
    <w:p>
      <w:pPr>
        <w:bidi w:val="0"/>
        <w:rPr>
          <w:rFonts w:hint="eastAsia"/>
        </w:rPr>
      </w:pPr>
      <w:r>
        <w:rPr>
          <w:rFonts w:hint="eastAsia"/>
        </w:rPr>
        <w:t>3.物资编目数据填报和打码贴签情况，列入出厂验收、接收验收项目；编目数据、标识标签不符合规范要求的，验收不予通过，不得进入物资储存单位。乙方应当在7日内完成整改，重新协调甲方组织验收。</w:t>
      </w:r>
    </w:p>
    <w:p>
      <w:pPr>
        <w:pStyle w:val="4"/>
        <w:numPr>
          <w:ilvl w:val="0"/>
          <w:numId w:val="3"/>
        </w:numPr>
        <w:ind w:firstLine="640"/>
      </w:pPr>
      <w:r>
        <w:rPr>
          <w:rFonts w:hint="eastAsia"/>
          <w:lang w:val="en-US" w:eastAsia="zh-CN"/>
        </w:rPr>
        <w:t>其他需要明确的事项</w:t>
      </w:r>
    </w:p>
    <w:p>
      <w:pPr>
        <w:bidi w:val="0"/>
        <w:rPr>
          <w:rFonts w:hint="eastAsia"/>
          <w:lang w:val="en-US" w:eastAsia="zh-CN"/>
        </w:rPr>
      </w:pPr>
      <w:r>
        <w:rPr>
          <w:rFonts w:hint="eastAsia"/>
          <w:lang w:val="en-US" w:eastAsia="zh-CN"/>
        </w:rPr>
        <w:t>无。</w:t>
      </w:r>
    </w:p>
    <w:p>
      <w:pPr>
        <w:numPr>
          <w:ilvl w:val="0"/>
          <w:numId w:val="3"/>
        </w:numPr>
        <w:bidi w:val="0"/>
      </w:pPr>
      <w:r>
        <w:rPr>
          <w:rFonts w:hint="eastAsia"/>
        </w:rPr>
        <w:br w:type="page"/>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EE2C3FFE-1C71-40CD-AADA-D3921D51BCBB}"/>
  </w:font>
  <w:font w:name="宋体">
    <w:panose1 w:val="02010600030101010101"/>
    <w:charset w:val="86"/>
    <w:family w:val="auto"/>
    <w:pitch w:val="default"/>
    <w:sig w:usb0="00000203" w:usb1="288F0000" w:usb2="00000006" w:usb3="00000000" w:csb0="00040001" w:csb1="00000000"/>
    <w:embedRegular r:id="rId2" w:fontKey="{F60B525E-A64B-47D6-B337-5A0F597B0C47}"/>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1641A3A0-E86E-4C14-B658-CF89F7C63D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9130C98-9834-462F-B29E-C10F1BC58A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560"/>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560"/>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89066105"/>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sdtContent>
    </w:sdt>
    <w:r>
      <w:rPr>
        <w:rFonts w:hint="eastAsia" w:ascii="宋体" w:hAnsi="宋体" w:eastAsia="宋体"/>
        <w:sz w:val="28"/>
        <w:szCs w:val="28"/>
      </w:rPr>
      <w:t>—</w: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87207"/>
    <w:multiLevelType w:val="singleLevel"/>
    <w:tmpl w:val="8F987207"/>
    <w:lvl w:ilvl="0" w:tentative="0">
      <w:start w:val="1"/>
      <w:numFmt w:val="chineseCounting"/>
      <w:suff w:val="nothing"/>
      <w:lvlText w:val="%1、"/>
      <w:lvlJc w:val="left"/>
      <w:rPr>
        <w:rFonts w:hint="eastAsia"/>
      </w:rPr>
    </w:lvl>
  </w:abstractNum>
  <w:abstractNum w:abstractNumId="1">
    <w:nsid w:val="90F5412C"/>
    <w:multiLevelType w:val="singleLevel"/>
    <w:tmpl w:val="90F5412C"/>
    <w:lvl w:ilvl="0" w:tentative="0">
      <w:start w:val="2"/>
      <w:numFmt w:val="chineseCounting"/>
      <w:suff w:val="nothing"/>
      <w:lvlText w:val="%1、"/>
      <w:lvlJc w:val="left"/>
      <w:rPr>
        <w:rFonts w:hint="eastAsia"/>
      </w:rPr>
    </w:lvl>
  </w:abstractNum>
  <w:abstractNum w:abstractNumId="2">
    <w:nsid w:val="61B47E14"/>
    <w:multiLevelType w:val="multilevel"/>
    <w:tmpl w:val="61B47E14"/>
    <w:lvl w:ilvl="0" w:tentative="0">
      <w:start w:val="1"/>
      <w:numFmt w:val="chineseCountingThousand"/>
      <w:pStyle w:val="24"/>
      <w:suff w:val="nothing"/>
      <w:lvlText w:val="%1、"/>
      <w:lvlJc w:val="left"/>
      <w:pPr>
        <w:ind w:left="0" w:firstLine="0"/>
      </w:pPr>
      <w:rPr>
        <w:rFonts w:hint="eastAsia" w:eastAsia="黑体"/>
        <w:b w:val="0"/>
        <w:i w:val="0"/>
        <w:caps w:val="0"/>
        <w:strike w:val="0"/>
        <w:dstrike w:val="0"/>
        <w:vanish w:val="0"/>
        <w:color w:val="000000"/>
        <w:sz w:val="32"/>
        <w:vertAlign w:val="baseline"/>
      </w:rPr>
    </w:lvl>
    <w:lvl w:ilvl="1" w:tentative="0">
      <w:start w:val="1"/>
      <w:numFmt w:val="chineseCountingThousand"/>
      <w:pStyle w:val="25"/>
      <w:suff w:val="nothing"/>
      <w:lvlText w:val="（%2）"/>
      <w:lvlJc w:val="left"/>
      <w:pPr>
        <w:ind w:left="0" w:firstLine="0"/>
      </w:pPr>
      <w:rPr>
        <w:rFonts w:hint="eastAsia" w:eastAsia="楷体_GB2312"/>
        <w:b w:val="0"/>
        <w:i w:val="0"/>
        <w:sz w:val="32"/>
        <w:szCs w:val="32"/>
      </w:rPr>
    </w:lvl>
    <w:lvl w:ilvl="2" w:tentative="0">
      <w:start w:val="1"/>
      <w:numFmt w:val="decimal"/>
      <w:pStyle w:val="26"/>
      <w:suff w:val="nothing"/>
      <w:lvlText w:val="%3．"/>
      <w:lvlJc w:val="left"/>
      <w:pPr>
        <w:ind w:left="0" w:firstLine="0"/>
      </w:pPr>
      <w:rPr>
        <w:rFonts w:hint="eastAsia" w:ascii="仿宋_GB2312" w:hAnsi="Times New Roman" w:eastAsia="仿宋_GB2312"/>
        <w:b/>
        <w:i w:val="0"/>
        <w:sz w:val="32"/>
        <w:szCs w:val="32"/>
      </w:rPr>
    </w:lvl>
    <w:lvl w:ilvl="3" w:tentative="0">
      <w:start w:val="1"/>
      <w:numFmt w:val="decimal"/>
      <w:pStyle w:val="27"/>
      <w:suff w:val="nothing"/>
      <w:lvlText w:val="（%4）"/>
      <w:lvlJc w:val="left"/>
      <w:pPr>
        <w:ind w:left="0" w:firstLine="0"/>
      </w:pPr>
      <w:rPr>
        <w:rFonts w:hint="eastAsia" w:ascii="仿宋_GB2312" w:eastAsia="仿宋_GB2312"/>
        <w:b w:val="0"/>
        <w:i w:val="0"/>
        <w:sz w:val="32"/>
      </w:rPr>
    </w:lvl>
    <w:lvl w:ilvl="4" w:tentative="0">
      <w:start w:val="1"/>
      <w:numFmt w:val="decimal"/>
      <w:pStyle w:val="28"/>
      <w:suff w:val="nothing"/>
      <w:lvlText w:val="%5）"/>
      <w:lvlJc w:val="left"/>
      <w:pPr>
        <w:ind w:left="0" w:firstLine="0"/>
      </w:pPr>
      <w:rPr>
        <w:rFonts w:hint="eastAsia" w:ascii="楷体_GB2312" w:eastAsia="楷体_GB2312"/>
        <w:b w:val="0"/>
        <w:i w:val="0"/>
        <w:sz w:val="32"/>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yMGQzY2VlN2ZhODFkY2U2YTQxNjM2Y2QwODg0NjUifQ=="/>
  </w:docVars>
  <w:rsids>
    <w:rsidRoot w:val="00EB5739"/>
    <w:rsid w:val="0007640B"/>
    <w:rsid w:val="0012538E"/>
    <w:rsid w:val="005711B1"/>
    <w:rsid w:val="005D5DA8"/>
    <w:rsid w:val="0070300A"/>
    <w:rsid w:val="00781323"/>
    <w:rsid w:val="007B2671"/>
    <w:rsid w:val="00977A9C"/>
    <w:rsid w:val="009B7CD9"/>
    <w:rsid w:val="00A90961"/>
    <w:rsid w:val="00AC1DD5"/>
    <w:rsid w:val="00C01119"/>
    <w:rsid w:val="00C05166"/>
    <w:rsid w:val="00E826B8"/>
    <w:rsid w:val="00EB5739"/>
    <w:rsid w:val="00F62A22"/>
    <w:rsid w:val="05C14AA5"/>
    <w:rsid w:val="0886431B"/>
    <w:rsid w:val="0BD83C21"/>
    <w:rsid w:val="1088747A"/>
    <w:rsid w:val="12BE1F98"/>
    <w:rsid w:val="15F5110D"/>
    <w:rsid w:val="1A385A6D"/>
    <w:rsid w:val="1D423278"/>
    <w:rsid w:val="1DE24FEC"/>
    <w:rsid w:val="1DF6166E"/>
    <w:rsid w:val="2A3D2C2B"/>
    <w:rsid w:val="2D53219D"/>
    <w:rsid w:val="32C67D1D"/>
    <w:rsid w:val="349855D6"/>
    <w:rsid w:val="36170B04"/>
    <w:rsid w:val="397A5F4E"/>
    <w:rsid w:val="3C420328"/>
    <w:rsid w:val="3DA60D75"/>
    <w:rsid w:val="40161C4A"/>
    <w:rsid w:val="455039F8"/>
    <w:rsid w:val="472D42FC"/>
    <w:rsid w:val="485B09F4"/>
    <w:rsid w:val="4E5008D0"/>
    <w:rsid w:val="519D6151"/>
    <w:rsid w:val="5CCB5CF1"/>
    <w:rsid w:val="5D98486A"/>
    <w:rsid w:val="64FF0C2E"/>
    <w:rsid w:val="672030DD"/>
    <w:rsid w:val="68A971D2"/>
    <w:rsid w:val="72165879"/>
    <w:rsid w:val="74A92964"/>
    <w:rsid w:val="7C7012CC"/>
    <w:rsid w:val="7C977546"/>
    <w:rsid w:val="7FC2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9"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4">
    <w:name w:val="heading 1"/>
    <w:basedOn w:val="1"/>
    <w:next w:val="1"/>
    <w:link w:val="18"/>
    <w:autoRedefine/>
    <w:qFormat/>
    <w:uiPriority w:val="9"/>
    <w:pPr>
      <w:keepNext/>
      <w:keepLines/>
      <w:ind w:firstLine="883"/>
      <w:jc w:val="left"/>
      <w:outlineLvl w:val="0"/>
    </w:pPr>
    <w:rPr>
      <w:rFonts w:eastAsia="黑体"/>
      <w:bCs/>
      <w:kern w:val="44"/>
      <w:szCs w:val="44"/>
    </w:rPr>
  </w:style>
  <w:style w:type="paragraph" w:styleId="5">
    <w:name w:val="heading 2"/>
    <w:basedOn w:val="1"/>
    <w:next w:val="1"/>
    <w:link w:val="21"/>
    <w:autoRedefine/>
    <w:unhideWhenUsed/>
    <w:qFormat/>
    <w:uiPriority w:val="9"/>
    <w:pPr>
      <w:keepNext/>
      <w:keepLines/>
      <w:ind w:firstLine="883"/>
      <w:jc w:val="left"/>
      <w:outlineLvl w:val="1"/>
    </w:pPr>
    <w:rPr>
      <w:rFonts w:eastAsia="楷体_GB2312" w:asciiTheme="majorHAnsi" w:hAnsiTheme="majorHAnsi" w:cstheme="majorBidi"/>
      <w:bCs/>
      <w:szCs w:val="32"/>
    </w:rPr>
  </w:style>
  <w:style w:type="paragraph" w:styleId="2">
    <w:name w:val="heading 3"/>
    <w:basedOn w:val="1"/>
    <w:next w:val="3"/>
    <w:link w:val="22"/>
    <w:autoRedefine/>
    <w:unhideWhenUsed/>
    <w:qFormat/>
    <w:uiPriority w:val="9"/>
    <w:pPr>
      <w:keepNext/>
      <w:keepLines/>
      <w:ind w:firstLine="883"/>
      <w:jc w:val="left"/>
      <w:outlineLvl w:val="2"/>
    </w:pPr>
    <w:rPr>
      <w:bCs/>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格式"/>
    <w:autoRedefine/>
    <w:qFormat/>
    <w:uiPriority w:val="99"/>
    <w:pPr>
      <w:widowControl w:val="0"/>
      <w:snapToGrid w:val="0"/>
      <w:spacing w:line="579" w:lineRule="exact"/>
      <w:ind w:firstLine="560" w:firstLineChars="200"/>
      <w:jc w:val="both"/>
    </w:pPr>
    <w:rPr>
      <w:rFonts w:ascii="仿宋_GB2312" w:hAnsi="Times New Roman" w:eastAsia="仿宋_GB2312" w:cs="Times New Roman"/>
      <w:sz w:val="28"/>
      <w:szCs w:val="28"/>
      <w:lang w:val="en-US" w:eastAsia="zh-CN" w:bidi="ar-SA"/>
    </w:rPr>
  </w:style>
  <w:style w:type="paragraph" w:styleId="6">
    <w:name w:val="caption"/>
    <w:basedOn w:val="1"/>
    <w:next w:val="1"/>
    <w:autoRedefine/>
    <w:unhideWhenUsed/>
    <w:qFormat/>
    <w:uiPriority w:val="35"/>
    <w:rPr>
      <w:rFonts w:ascii="Cambria" w:hAnsi="Cambria" w:eastAsia="楷体_GB2312" w:cs="Times New Roman"/>
      <w:sz w:val="28"/>
      <w:szCs w:val="20"/>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unhideWhenUsed/>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9">
    <w:name w:val="Date"/>
    <w:basedOn w:val="1"/>
    <w:next w:val="1"/>
    <w:link w:val="23"/>
    <w:autoRedefine/>
    <w:semiHidden/>
    <w:unhideWhenUsed/>
    <w:qFormat/>
    <w:uiPriority w:val="99"/>
    <w:pPr>
      <w:ind w:left="100" w:leftChars="2500"/>
    </w:pPr>
  </w:style>
  <w:style w:type="paragraph" w:styleId="10">
    <w:name w:val="footer"/>
    <w:basedOn w:val="1"/>
    <w:link w:val="17"/>
    <w:autoRedefine/>
    <w:unhideWhenUsed/>
    <w:qFormat/>
    <w:uiPriority w:val="99"/>
    <w:pPr>
      <w:tabs>
        <w:tab w:val="center" w:pos="4153"/>
        <w:tab w:val="right" w:pos="8306"/>
      </w:tabs>
      <w:snapToGrid w:val="0"/>
      <w:jc w:val="left"/>
    </w:pPr>
    <w:rPr>
      <w:sz w:val="18"/>
      <w:szCs w:val="18"/>
    </w:rPr>
  </w:style>
  <w:style w:type="paragraph" w:styleId="11">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0"/>
    <w:autoRedefine/>
    <w:qFormat/>
    <w:uiPriority w:val="11"/>
    <w:pPr>
      <w:ind w:firstLine="0" w:firstLineChars="0"/>
      <w:jc w:val="center"/>
      <w:outlineLvl w:val="1"/>
    </w:pPr>
    <w:rPr>
      <w:rFonts w:eastAsia="楷体_GB2312"/>
      <w:bCs/>
      <w:kern w:val="28"/>
      <w:szCs w:val="32"/>
    </w:rPr>
  </w:style>
  <w:style w:type="paragraph" w:styleId="13">
    <w:name w:val="Title"/>
    <w:basedOn w:val="1"/>
    <w:next w:val="1"/>
    <w:link w:val="19"/>
    <w:autoRedefine/>
    <w:qFormat/>
    <w:uiPriority w:val="10"/>
    <w:pPr>
      <w:ind w:firstLine="0" w:firstLineChars="0"/>
      <w:jc w:val="center"/>
      <w:outlineLvl w:val="0"/>
    </w:pPr>
    <w:rPr>
      <w:rFonts w:eastAsia="方正小标宋简体" w:asciiTheme="majorHAnsi" w:hAnsiTheme="majorHAnsi" w:cstheme="majorBidi"/>
      <w:b/>
      <w:bCs/>
      <w:sz w:val="44"/>
      <w:szCs w:val="32"/>
    </w:rPr>
  </w:style>
  <w:style w:type="character" w:customStyle="1" w:styleId="16">
    <w:name w:val="页眉 字符"/>
    <w:basedOn w:val="15"/>
    <w:link w:val="11"/>
    <w:autoRedefine/>
    <w:qFormat/>
    <w:uiPriority w:val="99"/>
    <w:rPr>
      <w:sz w:val="18"/>
      <w:szCs w:val="18"/>
    </w:rPr>
  </w:style>
  <w:style w:type="character" w:customStyle="1" w:styleId="17">
    <w:name w:val="页脚 字符"/>
    <w:basedOn w:val="15"/>
    <w:link w:val="10"/>
    <w:autoRedefine/>
    <w:qFormat/>
    <w:uiPriority w:val="99"/>
    <w:rPr>
      <w:sz w:val="18"/>
      <w:szCs w:val="18"/>
    </w:rPr>
  </w:style>
  <w:style w:type="character" w:customStyle="1" w:styleId="18">
    <w:name w:val="标题 1 字符"/>
    <w:basedOn w:val="15"/>
    <w:link w:val="4"/>
    <w:autoRedefine/>
    <w:qFormat/>
    <w:uiPriority w:val="9"/>
    <w:rPr>
      <w:rFonts w:eastAsia="黑体"/>
      <w:bCs/>
      <w:kern w:val="44"/>
      <w:sz w:val="32"/>
      <w:szCs w:val="44"/>
    </w:rPr>
  </w:style>
  <w:style w:type="character" w:customStyle="1" w:styleId="19">
    <w:name w:val="标题 字符"/>
    <w:basedOn w:val="15"/>
    <w:link w:val="13"/>
    <w:autoRedefine/>
    <w:qFormat/>
    <w:uiPriority w:val="10"/>
    <w:rPr>
      <w:rFonts w:eastAsia="方正小标宋简体" w:asciiTheme="majorHAnsi" w:hAnsiTheme="majorHAnsi" w:cstheme="majorBidi"/>
      <w:b/>
      <w:bCs/>
      <w:sz w:val="44"/>
      <w:szCs w:val="32"/>
    </w:rPr>
  </w:style>
  <w:style w:type="character" w:customStyle="1" w:styleId="20">
    <w:name w:val="副标题 字符"/>
    <w:basedOn w:val="15"/>
    <w:link w:val="12"/>
    <w:autoRedefine/>
    <w:qFormat/>
    <w:uiPriority w:val="11"/>
    <w:rPr>
      <w:rFonts w:eastAsia="楷体_GB2312"/>
      <w:bCs/>
      <w:kern w:val="28"/>
      <w:sz w:val="32"/>
      <w:szCs w:val="32"/>
    </w:rPr>
  </w:style>
  <w:style w:type="character" w:customStyle="1" w:styleId="21">
    <w:name w:val="标题 2 字符"/>
    <w:basedOn w:val="15"/>
    <w:link w:val="5"/>
    <w:autoRedefine/>
    <w:qFormat/>
    <w:uiPriority w:val="9"/>
    <w:rPr>
      <w:rFonts w:eastAsia="楷体_GB2312" w:asciiTheme="majorHAnsi" w:hAnsiTheme="majorHAnsi" w:cstheme="majorBidi"/>
      <w:bCs/>
      <w:sz w:val="32"/>
      <w:szCs w:val="32"/>
    </w:rPr>
  </w:style>
  <w:style w:type="character" w:customStyle="1" w:styleId="22">
    <w:name w:val="标题 3 字符"/>
    <w:basedOn w:val="15"/>
    <w:link w:val="2"/>
    <w:autoRedefine/>
    <w:qFormat/>
    <w:uiPriority w:val="9"/>
    <w:rPr>
      <w:rFonts w:eastAsia="仿宋_GB2312"/>
      <w:bCs/>
      <w:sz w:val="32"/>
      <w:szCs w:val="32"/>
    </w:rPr>
  </w:style>
  <w:style w:type="character" w:customStyle="1" w:styleId="23">
    <w:name w:val="日期 字符"/>
    <w:basedOn w:val="15"/>
    <w:link w:val="9"/>
    <w:autoRedefine/>
    <w:semiHidden/>
    <w:qFormat/>
    <w:uiPriority w:val="99"/>
    <w:rPr>
      <w:rFonts w:ascii="仿宋_GB2312" w:hAnsi="仿宋_GB2312" w:eastAsia="仿宋_GB2312"/>
      <w:kern w:val="2"/>
      <w:sz w:val="32"/>
      <w:szCs w:val="22"/>
    </w:rPr>
  </w:style>
  <w:style w:type="paragraph" w:customStyle="1" w:styleId="24">
    <w:name w:val="z标题1"/>
    <w:next w:val="1"/>
    <w:autoRedefine/>
    <w:qFormat/>
    <w:uiPriority w:val="0"/>
    <w:pPr>
      <w:keepNext/>
      <w:widowControl w:val="0"/>
      <w:numPr>
        <w:ilvl w:val="0"/>
        <w:numId w:val="1"/>
      </w:numPr>
      <w:adjustRightInd w:val="0"/>
      <w:snapToGrid w:val="0"/>
      <w:spacing w:line="579" w:lineRule="exact"/>
      <w:outlineLvl w:val="0"/>
    </w:pPr>
    <w:rPr>
      <w:rFonts w:ascii="Times New Roman" w:hAnsi="Times New Roman" w:eastAsia="黑体" w:cs="Times New Roman"/>
      <w:bCs/>
      <w:kern w:val="44"/>
      <w:sz w:val="32"/>
      <w:lang w:val="en-US" w:eastAsia="zh-CN" w:bidi="ar-SA"/>
    </w:rPr>
  </w:style>
  <w:style w:type="paragraph" w:customStyle="1" w:styleId="25">
    <w:name w:val="z标题2"/>
    <w:next w:val="1"/>
    <w:autoRedefine/>
    <w:qFormat/>
    <w:uiPriority w:val="0"/>
    <w:pPr>
      <w:keepNext/>
      <w:widowControl w:val="0"/>
      <w:numPr>
        <w:ilvl w:val="1"/>
        <w:numId w:val="1"/>
      </w:numPr>
      <w:adjustRightInd w:val="0"/>
      <w:snapToGrid w:val="0"/>
      <w:spacing w:line="579" w:lineRule="exact"/>
      <w:jc w:val="both"/>
      <w:outlineLvl w:val="1"/>
    </w:pPr>
    <w:rPr>
      <w:rFonts w:ascii="Times New Roman" w:hAnsi="Times New Roman" w:eastAsia="楷体_GB2312" w:cs="Times New Roman"/>
      <w:bCs/>
      <w:sz w:val="32"/>
      <w:szCs w:val="32"/>
      <w:lang w:val="en-US" w:eastAsia="zh-CN" w:bidi="ar-SA"/>
    </w:rPr>
  </w:style>
  <w:style w:type="paragraph" w:customStyle="1" w:styleId="26">
    <w:name w:val="z标题3"/>
    <w:next w:val="1"/>
    <w:autoRedefine/>
    <w:qFormat/>
    <w:uiPriority w:val="0"/>
    <w:pPr>
      <w:keepNext/>
      <w:widowControl w:val="0"/>
      <w:numPr>
        <w:ilvl w:val="2"/>
        <w:numId w:val="1"/>
      </w:numPr>
      <w:spacing w:line="579" w:lineRule="exact"/>
      <w:jc w:val="both"/>
      <w:outlineLvl w:val="2"/>
    </w:pPr>
    <w:rPr>
      <w:rFonts w:ascii="Times New Roman" w:hAnsi="Times New Roman" w:eastAsia="仿宋_GB2312" w:cs="Times New Roman"/>
      <w:b/>
      <w:bCs/>
      <w:sz w:val="32"/>
      <w:szCs w:val="28"/>
      <w:lang w:val="en-US" w:eastAsia="zh-CN" w:bidi="ar-SA"/>
    </w:rPr>
  </w:style>
  <w:style w:type="paragraph" w:customStyle="1" w:styleId="27">
    <w:name w:val="z标题4"/>
    <w:next w:val="1"/>
    <w:autoRedefine/>
    <w:qFormat/>
    <w:uiPriority w:val="0"/>
    <w:pPr>
      <w:keepNext/>
      <w:numPr>
        <w:ilvl w:val="3"/>
        <w:numId w:val="1"/>
      </w:numPr>
      <w:adjustRightInd w:val="0"/>
      <w:spacing w:line="579" w:lineRule="exact"/>
      <w:jc w:val="both"/>
      <w:outlineLvl w:val="3"/>
    </w:pPr>
    <w:rPr>
      <w:rFonts w:ascii="Times New Roman" w:hAnsi="Times New Roman" w:eastAsia="仿宋_GB2312" w:cs="Times New Roman"/>
      <w:bCs/>
      <w:sz w:val="32"/>
      <w:szCs w:val="28"/>
      <w:lang w:val="en-US" w:eastAsia="zh-CN" w:bidi="ar-SA"/>
    </w:rPr>
  </w:style>
  <w:style w:type="paragraph" w:customStyle="1" w:styleId="28">
    <w:name w:val="z标题5"/>
    <w:next w:val="1"/>
    <w:autoRedefine/>
    <w:qFormat/>
    <w:uiPriority w:val="0"/>
    <w:pPr>
      <w:numPr>
        <w:ilvl w:val="4"/>
        <w:numId w:val="1"/>
      </w:numPr>
      <w:spacing w:line="579" w:lineRule="exact"/>
      <w:ind w:firstLineChars="200"/>
      <w:jc w:val="both"/>
      <w:outlineLvl w:val="4"/>
    </w:pPr>
    <w:rPr>
      <w:rFonts w:ascii="仿宋_GB2312" w:hAnsi="仿宋_GB2312" w:eastAsia="仿宋_GB2312" w:cs="Times New Roman"/>
      <w:bCs/>
      <w:sz w:val="32"/>
      <w:szCs w:val="28"/>
      <w:lang w:val="en-US" w:eastAsia="zh-CN" w:bidi="ar-SA"/>
    </w:rPr>
  </w:style>
  <w:style w:type="paragraph" w:customStyle="1" w:styleId="29">
    <w:name w:val="表格内容"/>
    <w:next w:val="1"/>
    <w:link w:val="30"/>
    <w:autoRedefine/>
    <w:qFormat/>
    <w:uiPriority w:val="0"/>
    <w:pPr>
      <w:jc w:val="center"/>
    </w:pPr>
    <w:rPr>
      <w:rFonts w:ascii="仿宋_GB2312" w:hAnsi="仿宋_GB2312" w:eastAsia="仿宋_GB2312" w:cs="Times New Roman"/>
      <w:bCs/>
      <w:kern w:val="2"/>
      <w:sz w:val="24"/>
      <w:szCs w:val="21"/>
      <w:lang w:val="en-US" w:eastAsia="zh-CN" w:bidi="ar-SA"/>
    </w:rPr>
  </w:style>
  <w:style w:type="character" w:customStyle="1" w:styleId="30">
    <w:name w:val="表格内容 字符"/>
    <w:link w:val="29"/>
    <w:autoRedefine/>
    <w:qFormat/>
    <w:uiPriority w:val="0"/>
    <w:rPr>
      <w:rFonts w:ascii="仿宋_GB2312" w:hAnsi="仿宋_GB2312" w:eastAsia="仿宋_GB2312" w:cs="Times New Roman"/>
      <w:bCs/>
      <w:kern w:val="2"/>
      <w:sz w:val="24"/>
      <w:szCs w:val="21"/>
    </w:rPr>
  </w:style>
  <w:style w:type="paragraph" w:customStyle="1" w:styleId="31">
    <w:name w:val="图片"/>
    <w:basedOn w:val="1"/>
    <w:link w:val="32"/>
    <w:autoRedefine/>
    <w:qFormat/>
    <w:uiPriority w:val="0"/>
    <w:pPr>
      <w:overflowPunct w:val="0"/>
      <w:jc w:val="center"/>
    </w:pPr>
    <w:rPr>
      <w:rFonts w:cs="Times New Roman"/>
    </w:rPr>
  </w:style>
  <w:style w:type="character" w:customStyle="1" w:styleId="32">
    <w:name w:val="图片 字符"/>
    <w:link w:val="31"/>
    <w:autoRedefine/>
    <w:qFormat/>
    <w:uiPriority w:val="0"/>
    <w:rPr>
      <w:rFonts w:ascii="仿宋_GB2312" w:hAnsi="仿宋_GB2312" w:eastAsia="仿宋_GB2312" w:cs="Times New Roman"/>
      <w:kern w:val="2"/>
      <w:sz w:val="32"/>
      <w:szCs w:val="22"/>
    </w:rPr>
  </w:style>
  <w:style w:type="paragraph" w:customStyle="1" w:styleId="33">
    <w:name w:val="_Style 24"/>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Words>
  <Characters>63</Characters>
  <Lines>1</Lines>
  <Paragraphs>1</Paragraphs>
  <TotalTime>5</TotalTime>
  <ScaleCrop>false</ScaleCrop>
  <LinksUpToDate>false</LinksUpToDate>
  <CharactersWithSpaces>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2022-02-18T10:33:00Z</dcterms:created>
  <dc:creator>Windows User</dc:creator>
  <cp:lastModifiedBy>lib</cp:lastModifiedBy>
  <dcterms:modified xsi:type="dcterms:W3CDTF">2024-01-24T08:24:23Z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1FBE7F5570CD48A085D4020F8E226419</vt:lpwstr>
  </property>
</Properties>
</file>