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hint="eastAsia" w:eastAsia="微软雅黑"/>
          <w:sz w:val="84"/>
          <w:szCs w:val="84"/>
          <w:lang w:val="en-US" w:eastAsia="zh-CN"/>
        </w:rPr>
      </w:pPr>
    </w:p>
    <w:p>
      <w:pPr>
        <w:snapToGrid w:val="0"/>
        <w:jc w:val="center"/>
        <w:outlineLvl w:val="0"/>
        <w:rPr>
          <w:rFonts w:eastAsia="方正大标宋简体"/>
          <w:sz w:val="44"/>
          <w:szCs w:val="44"/>
        </w:rPr>
      </w:pPr>
    </w:p>
    <w:p>
      <w:pPr>
        <w:snapToGrid w:val="0"/>
        <w:jc w:val="center"/>
        <w:outlineLvl w:val="0"/>
        <w:rPr>
          <w:rFonts w:eastAsia="Arial Unicode MS"/>
          <w:sz w:val="84"/>
          <w:szCs w:val="84"/>
        </w:rPr>
      </w:pPr>
      <w:r>
        <w:rPr>
          <w:rFonts w:hint="eastAsia" w:eastAsia="Arial Unicode MS"/>
          <w:sz w:val="84"/>
          <w:szCs w:val="84"/>
        </w:rPr>
        <w:t>询 价 文 件</w:t>
      </w:r>
    </w:p>
    <w:p>
      <w:pPr>
        <w:snapToGrid w:val="0"/>
        <w:jc w:val="center"/>
        <w:outlineLvl w:val="0"/>
        <w:rPr>
          <w:rFonts w:eastAsia="方正大标宋简体"/>
          <w:sz w:val="96"/>
          <w:szCs w:val="130"/>
        </w:rPr>
      </w:pPr>
    </w:p>
    <w:p>
      <w:pPr>
        <w:pStyle w:val="18"/>
      </w:pPr>
    </w:p>
    <w:p>
      <w:pPr>
        <w:pStyle w:val="18"/>
      </w:pPr>
    </w:p>
    <w:p>
      <w:pPr>
        <w:pStyle w:val="18"/>
      </w:pPr>
    </w:p>
    <w:p/>
    <w:p>
      <w:pPr>
        <w:snapToGrid w:val="0"/>
        <w:jc w:val="center"/>
        <w:outlineLvl w:val="0"/>
        <w:rPr>
          <w:rFonts w:eastAsia="方正大标宋简体"/>
          <w:sz w:val="96"/>
          <w:szCs w:val="130"/>
        </w:rPr>
      </w:pPr>
    </w:p>
    <w:p>
      <w:pPr>
        <w:snapToGrid w:val="0"/>
        <w:ind w:left="1400" w:leftChars="500"/>
        <w:outlineLvl w:val="0"/>
        <w:rPr>
          <w:rFonts w:eastAsia="方正大标宋简体"/>
          <w:sz w:val="96"/>
          <w:szCs w:val="130"/>
          <w:u w:val="single"/>
        </w:rPr>
      </w:pPr>
      <w:r>
        <w:rPr>
          <w:rFonts w:hint="eastAsia" w:eastAsia="微软雅黑"/>
          <w:sz w:val="44"/>
          <w:szCs w:val="44"/>
        </w:rPr>
        <w:t>项目名称：</w:t>
      </w:r>
      <w:r>
        <w:rPr>
          <w:rFonts w:hint="eastAsia" w:eastAsia="微软雅黑"/>
          <w:sz w:val="44"/>
          <w:szCs w:val="44"/>
          <w:u w:val="single"/>
        </w:rPr>
        <w:t xml:space="preserve"> </w:t>
      </w:r>
      <w:r>
        <w:rPr>
          <w:rFonts w:hint="eastAsia" w:eastAsia="微软雅黑"/>
          <w:sz w:val="44"/>
          <w:szCs w:val="44"/>
          <w:u w:val="single"/>
          <w:lang w:val="en-US" w:eastAsia="zh-CN"/>
        </w:rPr>
        <w:t>户外显示屏采购</w:t>
      </w:r>
      <w:r>
        <w:rPr>
          <w:rFonts w:hint="eastAsia" w:ascii="仿宋_GB2312" w:hAnsi="仿宋_GB2312" w:eastAsia="仿宋_GB2312" w:cs="仿宋_GB2312"/>
          <w:sz w:val="36"/>
          <w:szCs w:val="36"/>
          <w:u w:val="single"/>
        </w:rPr>
        <w:t xml:space="preserve">   </w:t>
      </w:r>
    </w:p>
    <w:p>
      <w:pPr>
        <w:pStyle w:val="9"/>
        <w:snapToGrid w:val="0"/>
        <w:spacing w:line="240" w:lineRule="auto"/>
        <w:ind w:leftChars="343" w:firstLine="1540" w:firstLineChars="350"/>
        <w:outlineLvl w:val="0"/>
        <w:rPr>
          <w:rFonts w:eastAsia="微软雅黑"/>
          <w:szCs w:val="44"/>
        </w:rPr>
      </w:pPr>
    </w:p>
    <w:p>
      <w:pPr>
        <w:snapToGrid w:val="0"/>
        <w:ind w:left="1400" w:leftChars="500"/>
        <w:outlineLvl w:val="0"/>
        <w:rPr>
          <w:rFonts w:hint="eastAsia" w:eastAsia="仿宋_GB2312"/>
          <w:sz w:val="96"/>
          <w:szCs w:val="130"/>
          <w:lang w:val="en-US" w:eastAsia="zh-CN"/>
        </w:rPr>
      </w:pPr>
      <w:r>
        <w:rPr>
          <w:rFonts w:hint="eastAsia" w:eastAsia="微软雅黑"/>
          <w:sz w:val="44"/>
          <w:szCs w:val="44"/>
        </w:rPr>
        <w:t>采购单位：</w:t>
      </w:r>
      <w:r>
        <w:rPr>
          <w:rFonts w:hint="eastAsia" w:ascii="仿宋_GB2312" w:hAnsi="仿宋_GB2312" w:eastAsia="仿宋_GB2312" w:cs="仿宋_GB2312"/>
          <w:sz w:val="36"/>
          <w:szCs w:val="36"/>
          <w:u w:val="single"/>
        </w:rPr>
        <w:t>陆军军医大学</w:t>
      </w:r>
      <w:r>
        <w:rPr>
          <w:rFonts w:hint="eastAsia" w:ascii="仿宋_GB2312" w:hAnsi="仿宋_GB2312" w:eastAsia="仿宋_GB2312" w:cs="仿宋_GB2312"/>
          <w:sz w:val="36"/>
          <w:szCs w:val="36"/>
          <w:u w:val="single"/>
          <w:lang w:val="en-US" w:eastAsia="zh-CN"/>
        </w:rPr>
        <w:t>外训大队</w:t>
      </w:r>
    </w:p>
    <w:p>
      <w:pPr>
        <w:snapToGrid w:val="0"/>
        <w:ind w:left="2240" w:leftChars="800"/>
        <w:rPr>
          <w:rFonts w:eastAsia="微软雅黑"/>
          <w:sz w:val="44"/>
          <w:szCs w:val="44"/>
        </w:rPr>
      </w:pPr>
    </w:p>
    <w:p>
      <w:pPr>
        <w:snapToGrid w:val="0"/>
        <w:ind w:left="2240" w:leftChars="800"/>
        <w:rPr>
          <w:rFonts w:eastAsia="微软雅黑"/>
          <w:sz w:val="44"/>
          <w:szCs w:val="44"/>
        </w:rPr>
      </w:pPr>
    </w:p>
    <w:p>
      <w:pPr>
        <w:snapToGrid w:val="0"/>
        <w:jc w:val="center"/>
        <w:outlineLvl w:val="0"/>
        <w:rPr>
          <w:rFonts w:eastAsia="方正大标宋简体"/>
          <w:sz w:val="96"/>
          <w:szCs w:val="130"/>
        </w:rPr>
      </w:pPr>
      <w:r>
        <w:rPr>
          <w:rFonts w:hint="eastAsia" w:eastAsia="微软雅黑"/>
          <w:sz w:val="44"/>
          <w:szCs w:val="44"/>
        </w:rPr>
        <w:t>二○二三年十月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2"/>
        <w:numPr>
          <w:ilvl w:val="0"/>
          <w:numId w:val="1"/>
        </w:numPr>
        <w:jc w:val="center"/>
        <w:rPr>
          <w:rFonts w:ascii="微软雅黑" w:hAnsi="微软雅黑" w:eastAsia="微软雅黑" w:cs="微软雅黑"/>
          <w:b w:val="0"/>
          <w:bCs w:val="0"/>
          <w:szCs w:val="28"/>
        </w:rPr>
      </w:pPr>
      <w:r>
        <w:rPr>
          <w:rFonts w:hint="eastAsia" w:ascii="微软雅黑" w:hAnsi="微软雅黑" w:eastAsia="微软雅黑" w:cs="微软雅黑"/>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我</w:t>
      </w:r>
      <w:r>
        <w:rPr>
          <w:rFonts w:hint="eastAsia" w:ascii="楷体_GB2312" w:hAnsi="楷体_GB2312" w:eastAsia="楷体_GB2312" w:cs="楷体_GB2312"/>
          <w:szCs w:val="28"/>
          <w:lang w:val="en-US" w:eastAsia="zh-CN"/>
        </w:rPr>
        <w:t>单位</w:t>
      </w:r>
      <w:r>
        <w:rPr>
          <w:rFonts w:hint="eastAsia" w:ascii="楷体_GB2312" w:hAnsi="楷体_GB2312" w:eastAsia="楷体_GB2312" w:cs="楷体_GB2312"/>
          <w:szCs w:val="28"/>
        </w:rPr>
        <w:t>就以下项目进行询价采购，</w:t>
      </w:r>
      <w:r>
        <w:rPr>
          <w:rFonts w:hint="eastAsia" w:ascii="楷体_GB2312" w:hAnsi="楷体_GB2312" w:eastAsia="楷体_GB2312" w:cs="楷体_GB2312"/>
          <w:szCs w:val="28"/>
          <w:lang w:val="en-US" w:eastAsia="zh-CN"/>
        </w:rPr>
        <w:t>采购资金已全部落实，</w:t>
      </w:r>
      <w:r>
        <w:rPr>
          <w:rFonts w:hint="eastAsia" w:ascii="楷体_GB2312" w:hAnsi="楷体_GB2312" w:eastAsia="楷体_GB2312" w:cs="楷体_GB2312"/>
          <w:szCs w:val="28"/>
        </w:rPr>
        <w:t>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lang w:val="en-US" w:eastAsia="zh-CN"/>
        </w:rPr>
        <w:t>户外显示屏</w:t>
      </w:r>
      <w:r>
        <w:rPr>
          <w:rFonts w:hint="eastAsia" w:ascii="仿宋" w:hAnsi="仿宋" w:eastAsia="仿宋" w:cs="仿宋"/>
          <w:kern w:val="0"/>
          <w:u w:val="single"/>
          <w:lang w:val="en-US" w:eastAsia="zh-CN"/>
        </w:rPr>
        <w:t>采购</w:t>
      </w:r>
    </w:p>
    <w:p>
      <w:pPr>
        <w:numPr>
          <w:ilvl w:val="0"/>
          <w:numId w:val="2"/>
        </w:numPr>
        <w:adjustRightInd w:val="0"/>
        <w:snapToGrid w:val="0"/>
        <w:spacing w:line="480" w:lineRule="exact"/>
        <w:ind w:left="0" w:firstLine="560" w:firstLineChars="200"/>
        <w:rPr>
          <w:rFonts w:hint="eastAsia" w:ascii="仿宋" w:hAnsi="仿宋" w:eastAsia="仿宋" w:cs="仿宋"/>
          <w:kern w:val="0"/>
          <w:u w:val="single"/>
          <w:lang w:val="en-US" w:eastAsia="zh-CN"/>
        </w:rPr>
      </w:pPr>
      <w:r>
        <w:rPr>
          <w:rFonts w:hint="eastAsia" w:ascii="黑体" w:hAnsi="黑体" w:eastAsia="黑体" w:cs="黑体"/>
          <w:szCs w:val="28"/>
        </w:rPr>
        <w:t>项目预算：</w:t>
      </w:r>
      <w:r>
        <w:rPr>
          <w:rFonts w:hint="eastAsia" w:ascii="黑体" w:hAnsi="黑体" w:eastAsia="黑体" w:cs="黑体"/>
          <w:szCs w:val="28"/>
          <w:u w:val="single"/>
          <w:lang w:val="en-US" w:eastAsia="zh-CN"/>
        </w:rPr>
        <w:t>10</w:t>
      </w:r>
      <w:r>
        <w:rPr>
          <w:rFonts w:hint="eastAsia" w:ascii="仿宋" w:hAnsi="仿宋" w:eastAsia="仿宋" w:cs="仿宋"/>
          <w:kern w:val="0"/>
          <w:u w:val="single"/>
          <w:lang w:val="en-US" w:eastAsia="zh-CN"/>
        </w:rPr>
        <w:t>万元</w:t>
      </w:r>
    </w:p>
    <w:p>
      <w:pPr>
        <w:numPr>
          <w:ilvl w:val="0"/>
          <w:numId w:val="2"/>
        </w:numPr>
        <w:adjustRightInd w:val="0"/>
        <w:snapToGrid w:val="0"/>
        <w:spacing w:line="480" w:lineRule="exact"/>
        <w:ind w:left="0" w:firstLine="560" w:firstLineChars="200"/>
        <w:rPr>
          <w:rFonts w:hint="eastAsia" w:ascii="仿宋" w:hAnsi="仿宋" w:eastAsia="仿宋" w:cs="仿宋"/>
          <w:kern w:val="0"/>
          <w:u w:val="single"/>
          <w:lang w:val="en-US" w:eastAsia="zh-CN"/>
        </w:rPr>
      </w:pPr>
      <w:r>
        <w:rPr>
          <w:rFonts w:hint="eastAsia" w:ascii="黑体" w:hAnsi="黑体" w:eastAsia="黑体" w:cs="黑体"/>
          <w:szCs w:val="28"/>
        </w:rPr>
        <w:t>项目单位：</w:t>
      </w:r>
      <w:r>
        <w:rPr>
          <w:rFonts w:hint="eastAsia" w:ascii="仿宋" w:hAnsi="仿宋" w:eastAsia="仿宋" w:cs="仿宋"/>
          <w:kern w:val="0"/>
          <w:u w:val="single"/>
          <w:lang w:val="en-US" w:eastAsia="zh-CN"/>
        </w:rPr>
        <w:t>陆军军医大学外训大队</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19"/>
        <w:tblW w:w="873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69"/>
        <w:gridCol w:w="832"/>
        <w:gridCol w:w="499"/>
        <w:gridCol w:w="4402"/>
        <w:gridCol w:w="510"/>
        <w:gridCol w:w="840"/>
        <w:gridCol w:w="404"/>
        <w:gridCol w:w="8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369"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序号</w:t>
            </w:r>
          </w:p>
        </w:tc>
        <w:tc>
          <w:tcPr>
            <w:tcW w:w="83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货物名称</w:t>
            </w:r>
          </w:p>
        </w:tc>
        <w:tc>
          <w:tcPr>
            <w:tcW w:w="499"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规格型号</w:t>
            </w:r>
          </w:p>
        </w:tc>
        <w:tc>
          <w:tcPr>
            <w:tcW w:w="440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技术要求</w:t>
            </w:r>
          </w:p>
        </w:tc>
        <w:tc>
          <w:tcPr>
            <w:tcW w:w="51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计量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单位</w:t>
            </w:r>
          </w:p>
        </w:tc>
        <w:tc>
          <w:tcPr>
            <w:tcW w:w="84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数量</w:t>
            </w:r>
          </w:p>
        </w:tc>
        <w:tc>
          <w:tcPr>
            <w:tcW w:w="404"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交货</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时间</w:t>
            </w:r>
          </w:p>
        </w:tc>
        <w:tc>
          <w:tcPr>
            <w:tcW w:w="881"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交货地点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35"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eastAsia"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1</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户外显示屏</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尺寸：9.98㎡</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▲像素间距≦5mm</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▲灯芯的波长误差值在</w:t>
            </w:r>
            <w:r>
              <w:rPr>
                <w:rFonts w:hint="eastAsia" w:ascii="宋体" w:hAnsi="宋体" w:eastAsia="宋体" w:cs="宋体"/>
                <w:b w:val="0"/>
                <w:bCs w:val="0"/>
                <w:i w:val="0"/>
                <w:iCs w:val="0"/>
                <w:caps w:val="0"/>
                <w:color w:val="2F2F2F"/>
                <w:spacing w:val="0"/>
                <w:kern w:val="0"/>
                <w:sz w:val="30"/>
                <w:szCs w:val="30"/>
                <w:vertAlign w:val="baseline"/>
                <w:lang w:val="en-US" w:eastAsia="en-US" w:bidi="ar-SA"/>
              </w:rPr>
              <w:t>±lnm</w:t>
            </w:r>
            <w:r>
              <w:rPr>
                <w:rFonts w:hint="eastAsia" w:ascii="宋体" w:hAnsi="宋体" w:eastAsia="宋体" w:cs="宋体"/>
                <w:b w:val="0"/>
                <w:bCs w:val="0"/>
                <w:i w:val="0"/>
                <w:iCs w:val="0"/>
                <w:caps w:val="0"/>
                <w:color w:val="2F2F2F"/>
                <w:spacing w:val="0"/>
                <w:kern w:val="0"/>
                <w:sz w:val="30"/>
                <w:szCs w:val="30"/>
                <w:vertAlign w:val="baseline"/>
                <w:lang w:val="en-US" w:eastAsia="zh-CN" w:bidi="ar-SA"/>
              </w:rPr>
              <w:t>之内，每 个灯芯的亮度误差在5%以内</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▲平整度≤0.5mm，调节精度≤0.1mm显示单元亮度≥5000Nits，亮度调解0-100%无级可调；</w:t>
            </w:r>
            <w:r>
              <w:rPr>
                <w:rFonts w:hint="eastAsia" w:ascii="宋体" w:hAnsi="宋体" w:eastAsia="宋体" w:cs="宋体"/>
                <w:b w:val="0"/>
                <w:bCs w:val="0"/>
                <w:i w:val="0"/>
                <w:iCs w:val="0"/>
                <w:caps w:val="0"/>
                <w:color w:val="2F2F2F"/>
                <w:spacing w:val="0"/>
                <w:kern w:val="0"/>
                <w:sz w:val="30"/>
                <w:szCs w:val="30"/>
                <w:vertAlign w:val="baseline"/>
                <w:lang w:val="en-US" w:eastAsia="en-US" w:bidi="ar-SA"/>
              </w:rPr>
              <w:t>失控点&lt;1/10000,无连续失控点</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▲盲点率≤0.0001；发光点中心偏差≤5%；亮度均与性≥97%，色度均匀性：</w:t>
            </w:r>
            <w:r>
              <w:rPr>
                <w:rFonts w:hint="eastAsia" w:ascii="宋体" w:hAnsi="宋体" w:eastAsia="宋体" w:cs="宋体"/>
                <w:b w:val="0"/>
                <w:bCs w:val="0"/>
                <w:i w:val="0"/>
                <w:iCs w:val="0"/>
                <w:caps w:val="0"/>
                <w:color w:val="2F2F2F"/>
                <w:spacing w:val="0"/>
                <w:kern w:val="0"/>
                <w:sz w:val="30"/>
                <w:szCs w:val="30"/>
                <w:vertAlign w:val="baseline"/>
                <w:lang w:val="en-US" w:eastAsia="en-US" w:bidi="ar-SA"/>
              </w:rPr>
              <w:t>±0.001 Cx, Cy</w:t>
            </w:r>
            <w:r>
              <w:rPr>
                <w:rFonts w:hint="eastAsia" w:ascii="宋体" w:hAnsi="宋体" w:eastAsia="宋体" w:cs="宋体"/>
                <w:b w:val="0"/>
                <w:bCs w:val="0"/>
                <w:i w:val="0"/>
                <w:iCs w:val="0"/>
                <w:caps w:val="0"/>
                <w:color w:val="2F2F2F"/>
                <w:spacing w:val="0"/>
                <w:kern w:val="0"/>
                <w:sz w:val="30"/>
                <w:szCs w:val="30"/>
                <w:vertAlign w:val="baseline"/>
                <w:lang w:val="en-US" w:eastAsia="zh-CN" w:bidi="ar-SA"/>
              </w:rPr>
              <w:t>之内；灰度等级≥14bit；γ≥20条；3年衰减率≤10%；</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▲对比度≥10000:1色温≥9000K；1000-11000可调；色温为 </w:t>
            </w:r>
            <w:r>
              <w:rPr>
                <w:rFonts w:hint="eastAsia" w:ascii="宋体" w:hAnsi="宋体" w:eastAsia="宋体" w:cs="宋体"/>
                <w:b w:val="0"/>
                <w:bCs w:val="0"/>
                <w:i w:val="0"/>
                <w:iCs w:val="0"/>
                <w:caps w:val="0"/>
                <w:color w:val="2F2F2F"/>
                <w:spacing w:val="0"/>
                <w:kern w:val="0"/>
                <w:sz w:val="30"/>
                <w:szCs w:val="30"/>
                <w:vertAlign w:val="baseline"/>
                <w:lang w:val="en-US" w:eastAsia="en-US" w:bidi="ar-SA"/>
              </w:rPr>
              <w:t xml:space="preserve">6500K </w:t>
            </w:r>
            <w:r>
              <w:rPr>
                <w:rFonts w:hint="eastAsia" w:ascii="宋体" w:hAnsi="宋体" w:eastAsia="宋体" w:cs="宋体"/>
                <w:b w:val="0"/>
                <w:bCs w:val="0"/>
                <w:i w:val="0"/>
                <w:iCs w:val="0"/>
                <w:caps w:val="0"/>
                <w:color w:val="2F2F2F"/>
                <w:spacing w:val="0"/>
                <w:kern w:val="0"/>
                <w:sz w:val="30"/>
                <w:szCs w:val="30"/>
                <w:vertAlign w:val="baseline"/>
                <w:lang w:val="en-US" w:eastAsia="zh-CN" w:bidi="ar-SA"/>
              </w:rPr>
              <w:t>时，100%, 75%,50%, 25%四档电平白场调节色温误差≤</w:t>
            </w:r>
            <w:r>
              <w:rPr>
                <w:rFonts w:hint="eastAsia" w:ascii="宋体" w:hAnsi="宋体" w:eastAsia="宋体" w:cs="宋体"/>
                <w:b w:val="0"/>
                <w:bCs w:val="0"/>
                <w:i w:val="0"/>
                <w:iCs w:val="0"/>
                <w:caps w:val="0"/>
                <w:color w:val="2F2F2F"/>
                <w:spacing w:val="0"/>
                <w:kern w:val="0"/>
                <w:sz w:val="30"/>
                <w:szCs w:val="30"/>
                <w:vertAlign w:val="baseline"/>
                <w:lang w:val="en-US" w:eastAsia="en-US" w:bidi="ar-SA"/>
              </w:rPr>
              <w:t>200K</w:t>
            </w: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峰值功耗≤800W/㎡，平均功耗≤400W/㎡；</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▲LED显示屏符合 </w:t>
            </w:r>
            <w:r>
              <w:rPr>
                <w:rFonts w:hint="eastAsia" w:ascii="宋体" w:hAnsi="宋体" w:eastAsia="宋体" w:cs="宋体"/>
                <w:b w:val="0"/>
                <w:bCs w:val="0"/>
                <w:i w:val="0"/>
                <w:iCs w:val="0"/>
                <w:caps w:val="0"/>
                <w:color w:val="2F2F2F"/>
                <w:spacing w:val="0"/>
                <w:kern w:val="0"/>
                <w:sz w:val="30"/>
                <w:szCs w:val="30"/>
                <w:vertAlign w:val="baseline"/>
                <w:lang w:val="en-US" w:eastAsia="en-US" w:bidi="ar-SA"/>
              </w:rPr>
              <w:t>GB/T 9254-2008 Class A</w:t>
            </w:r>
            <w:r>
              <w:rPr>
                <w:rFonts w:hint="eastAsia" w:ascii="宋体" w:hAnsi="宋体" w:eastAsia="宋体" w:cs="宋体"/>
                <w:b w:val="0"/>
                <w:bCs w:val="0"/>
                <w:i w:val="0"/>
                <w:iCs w:val="0"/>
                <w:caps w:val="0"/>
                <w:color w:val="2F2F2F"/>
                <w:spacing w:val="0"/>
                <w:kern w:val="0"/>
                <w:sz w:val="30"/>
                <w:szCs w:val="30"/>
                <w:vertAlign w:val="baseline"/>
                <w:lang w:val="en-US" w:eastAsia="zh-CN" w:bidi="ar-SA"/>
              </w:rPr>
              <w:t>限值要求；</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电信端口传导共模（非对称）骚扰 电压限制符合 </w:t>
            </w:r>
            <w:r>
              <w:rPr>
                <w:rFonts w:hint="eastAsia" w:ascii="宋体" w:hAnsi="宋体" w:eastAsia="宋体" w:cs="宋体"/>
                <w:b w:val="0"/>
                <w:bCs w:val="0"/>
                <w:i w:val="0"/>
                <w:iCs w:val="0"/>
                <w:caps w:val="0"/>
                <w:color w:val="2F2F2F"/>
                <w:spacing w:val="0"/>
                <w:kern w:val="0"/>
                <w:sz w:val="30"/>
                <w:szCs w:val="30"/>
                <w:vertAlign w:val="baseline"/>
                <w:lang w:val="en-US" w:eastAsia="en-US" w:bidi="ar-SA"/>
              </w:rPr>
              <w:t>GB/T 9254-2008 Class A</w:t>
            </w:r>
            <w:r>
              <w:rPr>
                <w:rFonts w:hint="eastAsia" w:ascii="宋体" w:hAnsi="宋体" w:eastAsia="宋体" w:cs="宋体"/>
                <w:b w:val="0"/>
                <w:bCs w:val="0"/>
                <w:i w:val="0"/>
                <w:iCs w:val="0"/>
                <w:caps w:val="0"/>
                <w:color w:val="2F2F2F"/>
                <w:spacing w:val="0"/>
                <w:kern w:val="0"/>
                <w:sz w:val="30"/>
                <w:szCs w:val="30"/>
                <w:vertAlign w:val="baseline"/>
                <w:lang w:val="en-US" w:eastAsia="zh-CN" w:bidi="ar-SA"/>
              </w:rPr>
              <w:t>限值要求；</w:t>
            </w:r>
          </w:p>
          <w:p>
            <w:pPr>
              <w:numPr>
                <w:ilvl w:val="0"/>
                <w:numId w:val="3"/>
              </w:numPr>
              <w:bidi w:val="0"/>
              <w:ind w:left="425" w:leftChars="0" w:hanging="425" w:firstLineChars="0"/>
              <w:jc w:val="both"/>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辐射骚扰 </w:t>
            </w:r>
            <w:r>
              <w:rPr>
                <w:rFonts w:hint="eastAsia" w:ascii="宋体" w:hAnsi="宋体" w:eastAsia="宋体" w:cs="宋体"/>
                <w:b w:val="0"/>
                <w:bCs w:val="0"/>
                <w:i w:val="0"/>
                <w:iCs w:val="0"/>
                <w:caps w:val="0"/>
                <w:color w:val="2F2F2F"/>
                <w:spacing w:val="0"/>
                <w:kern w:val="0"/>
                <w:sz w:val="30"/>
                <w:szCs w:val="30"/>
                <w:vertAlign w:val="baseline"/>
                <w:lang w:val="en-US" w:eastAsia="en-US" w:bidi="ar-SA"/>
              </w:rPr>
              <w:t xml:space="preserve">(EMC)30MHz-1000MHz </w:t>
            </w: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符合 </w:t>
            </w:r>
            <w:r>
              <w:rPr>
                <w:rFonts w:hint="eastAsia" w:ascii="宋体" w:hAnsi="宋体" w:eastAsia="宋体" w:cs="宋体"/>
                <w:b w:val="0"/>
                <w:bCs w:val="0"/>
                <w:i w:val="0"/>
                <w:iCs w:val="0"/>
                <w:caps w:val="0"/>
                <w:color w:val="2F2F2F"/>
                <w:spacing w:val="0"/>
                <w:kern w:val="0"/>
                <w:sz w:val="30"/>
                <w:szCs w:val="30"/>
                <w:vertAlign w:val="baseline"/>
                <w:lang w:val="en-US" w:eastAsia="en-US" w:bidi="ar-SA"/>
              </w:rPr>
              <w:t>GB/T 9254-2008 Class A</w:t>
            </w:r>
            <w:r>
              <w:rPr>
                <w:rFonts w:hint="eastAsia" w:ascii="宋体" w:hAnsi="宋体" w:eastAsia="宋体" w:cs="宋体"/>
                <w:b w:val="0"/>
                <w:bCs w:val="0"/>
                <w:i w:val="0"/>
                <w:iCs w:val="0"/>
                <w:caps w:val="0"/>
                <w:color w:val="2F2F2F"/>
                <w:spacing w:val="0"/>
                <w:kern w:val="0"/>
                <w:sz w:val="30"/>
                <w:szCs w:val="30"/>
                <w:vertAlign w:val="baseline"/>
                <w:lang w:val="en-US" w:eastAsia="zh-CN" w:bidi="ar-SA"/>
              </w:rPr>
              <w:t>限值要求；</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盐雾试验</w:t>
            </w:r>
            <w:r>
              <w:rPr>
                <w:rFonts w:hint="eastAsia" w:ascii="宋体" w:hAnsi="宋体" w:eastAsia="宋体" w:cs="宋体"/>
                <w:b w:val="0"/>
                <w:bCs w:val="0"/>
                <w:i w:val="0"/>
                <w:iCs w:val="0"/>
                <w:caps w:val="0"/>
                <w:color w:val="2F2F2F"/>
                <w:spacing w:val="0"/>
                <w:kern w:val="0"/>
                <w:sz w:val="30"/>
                <w:szCs w:val="30"/>
                <w:vertAlign w:val="baseline"/>
                <w:lang w:val="en-US" w:eastAsia="en-US" w:bidi="ar-SA"/>
              </w:rPr>
              <w:t>LED</w:t>
            </w:r>
            <w:r>
              <w:rPr>
                <w:rFonts w:hint="eastAsia" w:ascii="宋体" w:hAnsi="宋体" w:eastAsia="宋体" w:cs="宋体"/>
                <w:b w:val="0"/>
                <w:bCs w:val="0"/>
                <w:i w:val="0"/>
                <w:iCs w:val="0"/>
                <w:caps w:val="0"/>
                <w:color w:val="2F2F2F"/>
                <w:spacing w:val="0"/>
                <w:kern w:val="0"/>
                <w:sz w:val="30"/>
                <w:szCs w:val="30"/>
                <w:vertAlign w:val="baseline"/>
                <w:lang w:val="en-US" w:eastAsia="zh-CN" w:bidi="ar-SA"/>
              </w:rPr>
              <w:t>显示屏需在</w:t>
            </w:r>
            <w:r>
              <w:rPr>
                <w:rFonts w:hint="eastAsia" w:ascii="宋体" w:hAnsi="宋体" w:eastAsia="宋体" w:cs="宋体"/>
                <w:b w:val="0"/>
                <w:bCs w:val="0"/>
                <w:i w:val="0"/>
                <w:iCs w:val="0"/>
                <w:caps w:val="0"/>
                <w:color w:val="2F2F2F"/>
                <w:spacing w:val="0"/>
                <w:kern w:val="0"/>
                <w:sz w:val="30"/>
                <w:szCs w:val="30"/>
                <w:vertAlign w:val="baseline"/>
                <w:lang w:val="en-US" w:eastAsia="en-US" w:bidi="ar-SA"/>
              </w:rPr>
              <w:t>35°C/5%</w:t>
            </w:r>
            <w:r>
              <w:rPr>
                <w:rFonts w:hint="eastAsia" w:ascii="宋体" w:hAnsi="宋体" w:eastAsia="宋体" w:cs="宋体"/>
                <w:b w:val="0"/>
                <w:bCs w:val="0"/>
                <w:i w:val="0"/>
                <w:iCs w:val="0"/>
                <w:caps w:val="0"/>
                <w:color w:val="2F2F2F"/>
                <w:spacing w:val="0"/>
                <w:kern w:val="0"/>
                <w:sz w:val="30"/>
                <w:szCs w:val="30"/>
                <w:vertAlign w:val="baseline"/>
                <w:lang w:val="en-US" w:eastAsia="zh-CN" w:bidi="ar-SA"/>
              </w:rPr>
              <w:t>浓度环境下连 续</w:t>
            </w:r>
            <w:r>
              <w:rPr>
                <w:rFonts w:hint="eastAsia" w:ascii="宋体" w:hAnsi="宋体" w:eastAsia="宋体" w:cs="宋体"/>
                <w:b w:val="0"/>
                <w:bCs w:val="0"/>
                <w:i w:val="0"/>
                <w:iCs w:val="0"/>
                <w:caps w:val="0"/>
                <w:color w:val="2F2F2F"/>
                <w:spacing w:val="0"/>
                <w:kern w:val="0"/>
                <w:sz w:val="30"/>
                <w:szCs w:val="30"/>
                <w:vertAlign w:val="baseline"/>
                <w:lang w:val="en-US" w:eastAsia="en-US" w:bidi="ar-SA"/>
              </w:rPr>
              <w:t>48H</w:t>
            </w:r>
            <w:r>
              <w:rPr>
                <w:rFonts w:hint="eastAsia" w:ascii="宋体" w:hAnsi="宋体" w:eastAsia="宋体" w:cs="宋体"/>
                <w:b w:val="0"/>
                <w:bCs w:val="0"/>
                <w:i w:val="0"/>
                <w:iCs w:val="0"/>
                <w:caps w:val="0"/>
                <w:color w:val="2F2F2F"/>
                <w:spacing w:val="0"/>
                <w:kern w:val="0"/>
                <w:sz w:val="30"/>
                <w:szCs w:val="30"/>
                <w:vertAlign w:val="baseline"/>
                <w:lang w:val="en-US" w:eastAsia="zh-CN" w:bidi="ar-SA"/>
              </w:rPr>
              <w:t>表面无锈蚀；</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箱体通过抗拉力测试，数值≥</w:t>
            </w:r>
            <w:r>
              <w:rPr>
                <w:rFonts w:hint="eastAsia" w:ascii="宋体" w:hAnsi="宋体" w:eastAsia="宋体" w:cs="宋体"/>
                <w:b w:val="0"/>
                <w:bCs w:val="0"/>
                <w:i w:val="0"/>
                <w:iCs w:val="0"/>
                <w:caps w:val="0"/>
                <w:color w:val="2F2F2F"/>
                <w:spacing w:val="0"/>
                <w:kern w:val="0"/>
                <w:sz w:val="30"/>
                <w:szCs w:val="30"/>
                <w:vertAlign w:val="baseline"/>
                <w:lang w:val="en-US" w:eastAsia="en-US" w:bidi="ar-SA"/>
              </w:rPr>
              <w:t>5000N</w:t>
            </w:r>
            <w:r>
              <w:rPr>
                <w:rFonts w:hint="eastAsia" w:ascii="宋体" w:hAnsi="宋体" w:eastAsia="宋体" w:cs="宋体"/>
                <w:b w:val="0"/>
                <w:bCs w:val="0"/>
                <w:i w:val="0"/>
                <w:iCs w:val="0"/>
                <w:caps w:val="0"/>
                <w:color w:val="2F2F2F"/>
                <w:spacing w:val="0"/>
                <w:kern w:val="0"/>
                <w:sz w:val="30"/>
                <w:szCs w:val="30"/>
                <w:vertAlign w:val="baseline"/>
                <w:lang w:val="en-US" w:eastAsia="zh-CN" w:bidi="ar-SA"/>
              </w:rPr>
              <w:t>，箱体通过抗压力测试，数值≥</w:t>
            </w:r>
            <w:r>
              <w:rPr>
                <w:rFonts w:hint="eastAsia" w:ascii="宋体" w:hAnsi="宋体" w:eastAsia="宋体" w:cs="宋体"/>
                <w:b w:val="0"/>
                <w:bCs w:val="0"/>
                <w:i w:val="0"/>
                <w:iCs w:val="0"/>
                <w:caps w:val="0"/>
                <w:color w:val="2F2F2F"/>
                <w:spacing w:val="0"/>
                <w:kern w:val="0"/>
                <w:sz w:val="30"/>
                <w:szCs w:val="30"/>
                <w:vertAlign w:val="baseline"/>
                <w:lang w:val="en-US" w:eastAsia="en-US" w:bidi="ar-SA"/>
              </w:rPr>
              <w:t>50000N</w:t>
            </w: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en-US" w:bidi="ar-SA"/>
              </w:rPr>
              <w:t>纳秒级，极速响应不拖尾、无鬼影工作3年衰减率</w:t>
            </w: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r>
              <w:rPr>
                <w:rFonts w:hint="eastAsia" w:ascii="宋体" w:hAnsi="宋体" w:eastAsia="宋体" w:cs="宋体"/>
                <w:b w:val="0"/>
                <w:bCs w:val="0"/>
                <w:i w:val="0"/>
                <w:iCs w:val="0"/>
                <w:caps w:val="0"/>
                <w:color w:val="2F2F2F"/>
                <w:spacing w:val="0"/>
                <w:kern w:val="0"/>
                <w:sz w:val="30"/>
                <w:szCs w:val="30"/>
                <w:vertAlign w:val="baseline"/>
                <w:lang w:val="en-US" w:eastAsia="en-US" w:bidi="ar-SA"/>
              </w:rPr>
              <w:t>10%</w:t>
            </w: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刷新率≥3840</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r>
              <w:rPr>
                <w:rFonts w:hint="eastAsia" w:ascii="宋体" w:hAnsi="宋体" w:eastAsia="宋体" w:cs="宋体"/>
                <w:b w:val="0"/>
                <w:bCs w:val="0"/>
                <w:i w:val="0"/>
                <w:iCs w:val="0"/>
                <w:caps w:val="0"/>
                <w:color w:val="2F2F2F"/>
                <w:spacing w:val="0"/>
                <w:kern w:val="0"/>
                <w:sz w:val="30"/>
                <w:szCs w:val="30"/>
                <w:vertAlign w:val="baseline"/>
                <w:lang w:val="en-US" w:eastAsia="en-US" w:bidi="ar-SA"/>
              </w:rPr>
              <w:t>LED显示屏的发光模块面色一致， 并且是哑光的，反光有效系数在 5%以内。显示屏的杂点应</w:t>
            </w: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r>
              <w:rPr>
                <w:rFonts w:hint="eastAsia" w:ascii="宋体" w:hAnsi="宋体" w:eastAsia="宋体" w:cs="宋体"/>
                <w:b w:val="0"/>
                <w:bCs w:val="0"/>
                <w:i w:val="0"/>
                <w:iCs w:val="0"/>
                <w:caps w:val="0"/>
                <w:color w:val="2F2F2F"/>
                <w:spacing w:val="0"/>
                <w:kern w:val="0"/>
                <w:sz w:val="30"/>
                <w:szCs w:val="30"/>
                <w:vertAlign w:val="baseline"/>
                <w:lang w:val="en-US" w:eastAsia="en-US" w:bidi="ar-SA"/>
              </w:rPr>
              <w:t xml:space="preserve"> 1/100000</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en-US" w:bidi="ar-SA"/>
              </w:rPr>
              <w:t>LED</w:t>
            </w: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显示屏正常使用达到热平衡 后，屏体结构金属部分温升不超过 </w:t>
            </w:r>
            <w:r>
              <w:rPr>
                <w:rFonts w:hint="eastAsia" w:ascii="宋体" w:hAnsi="宋体" w:eastAsia="宋体" w:cs="宋体"/>
                <w:b w:val="0"/>
                <w:bCs w:val="0"/>
                <w:i w:val="0"/>
                <w:iCs w:val="0"/>
                <w:caps w:val="0"/>
                <w:color w:val="2F2F2F"/>
                <w:spacing w:val="0"/>
                <w:kern w:val="0"/>
                <w:sz w:val="30"/>
                <w:szCs w:val="30"/>
                <w:vertAlign w:val="baseline"/>
                <w:lang w:val="en-US" w:eastAsia="en-US" w:bidi="ar-SA"/>
              </w:rPr>
              <w:t>45K,</w:t>
            </w:r>
            <w:r>
              <w:rPr>
                <w:rFonts w:hint="eastAsia" w:ascii="宋体" w:hAnsi="宋体" w:eastAsia="宋体" w:cs="宋体"/>
                <w:b w:val="0"/>
                <w:bCs w:val="0"/>
                <w:i w:val="0"/>
                <w:iCs w:val="0"/>
                <w:caps w:val="0"/>
                <w:color w:val="2F2F2F"/>
                <w:spacing w:val="0"/>
                <w:kern w:val="0"/>
                <w:sz w:val="30"/>
                <w:szCs w:val="30"/>
                <w:vertAlign w:val="baseline"/>
                <w:lang w:val="en-US" w:eastAsia="zh-CN" w:bidi="ar-SA"/>
              </w:rPr>
              <w:t>绝缘材料温升不超过</w:t>
            </w:r>
            <w:r>
              <w:rPr>
                <w:rFonts w:hint="eastAsia" w:ascii="宋体" w:hAnsi="宋体" w:eastAsia="宋体" w:cs="宋体"/>
                <w:b w:val="0"/>
                <w:bCs w:val="0"/>
                <w:i w:val="0"/>
                <w:iCs w:val="0"/>
                <w:caps w:val="0"/>
                <w:color w:val="2F2F2F"/>
                <w:spacing w:val="0"/>
                <w:kern w:val="0"/>
                <w:sz w:val="30"/>
                <w:szCs w:val="30"/>
                <w:vertAlign w:val="baseline"/>
                <w:lang w:val="en-US" w:eastAsia="en-US" w:bidi="ar-SA"/>
              </w:rPr>
              <w:t>70K</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正常工作时支持消除毛毛虫、鬼影 功能，摩尔纹功能，</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支持消除开路十字架功能，暗线隐亮消除功能；</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支持单点检测逐点校正功能，单点亮度校正，单点颜色校正；</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控制系统的信号发送/转接/接收卡 支持环路冗余备份，信号支持双回 路热备份自动转换</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en-US" w:bidi="ar-SA"/>
              </w:rPr>
              <w:t>LED</w:t>
            </w:r>
            <w:r>
              <w:rPr>
                <w:rFonts w:hint="eastAsia" w:ascii="宋体" w:hAnsi="宋体" w:eastAsia="宋体" w:cs="宋体"/>
                <w:b w:val="0"/>
                <w:bCs w:val="0"/>
                <w:i w:val="0"/>
                <w:iCs w:val="0"/>
                <w:caps w:val="0"/>
                <w:color w:val="2F2F2F"/>
                <w:spacing w:val="0"/>
                <w:kern w:val="0"/>
                <w:sz w:val="30"/>
                <w:szCs w:val="30"/>
                <w:vertAlign w:val="baseline"/>
                <w:lang w:val="en-US" w:eastAsia="zh-CN" w:bidi="ar-SA"/>
              </w:rPr>
              <w:t>屏幕要求支持</w:t>
            </w:r>
            <w:r>
              <w:rPr>
                <w:rFonts w:hint="eastAsia" w:ascii="宋体" w:hAnsi="宋体" w:eastAsia="宋体" w:cs="宋体"/>
                <w:b w:val="0"/>
                <w:bCs w:val="0"/>
                <w:i w:val="0"/>
                <w:iCs w:val="0"/>
                <w:caps w:val="0"/>
                <w:color w:val="2F2F2F"/>
                <w:spacing w:val="0"/>
                <w:kern w:val="0"/>
                <w:sz w:val="30"/>
                <w:szCs w:val="30"/>
                <w:vertAlign w:val="baseline"/>
                <w:lang w:val="en-US" w:eastAsia="en-US" w:bidi="ar-SA"/>
              </w:rPr>
              <w:t>N+l、N+2</w:t>
            </w:r>
            <w:r>
              <w:rPr>
                <w:rFonts w:hint="eastAsia" w:ascii="宋体" w:hAnsi="宋体" w:eastAsia="宋体" w:cs="宋体"/>
                <w:b w:val="0"/>
                <w:bCs w:val="0"/>
                <w:i w:val="0"/>
                <w:iCs w:val="0"/>
                <w:caps w:val="0"/>
                <w:color w:val="2F2F2F"/>
                <w:spacing w:val="0"/>
                <w:kern w:val="0"/>
                <w:sz w:val="30"/>
                <w:szCs w:val="30"/>
                <w:vertAlign w:val="baseline"/>
                <w:lang w:val="en-US" w:eastAsia="zh-CN" w:bidi="ar-SA"/>
              </w:rPr>
              <w:t>电源冗 余备份，在某一电源岀现故障后， 冗余电源可自动切换，使屏体可以 继续正常工作</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w:t>
            </w:r>
            <w:r>
              <w:rPr>
                <w:rFonts w:hint="eastAsia" w:ascii="宋体" w:hAnsi="宋体" w:eastAsia="宋体" w:cs="宋体"/>
                <w:b w:val="0"/>
                <w:bCs w:val="0"/>
                <w:i w:val="0"/>
                <w:iCs w:val="0"/>
                <w:caps w:val="0"/>
                <w:color w:val="2F2F2F"/>
                <w:spacing w:val="0"/>
                <w:kern w:val="0"/>
                <w:sz w:val="30"/>
                <w:szCs w:val="30"/>
                <w:vertAlign w:val="baseline"/>
                <w:lang w:val="en-US" w:eastAsia="en-US" w:bidi="ar-SA"/>
              </w:rPr>
              <w:t>LED</w:t>
            </w:r>
            <w:r>
              <w:rPr>
                <w:rFonts w:hint="eastAsia" w:ascii="宋体" w:hAnsi="宋体" w:eastAsia="宋体" w:cs="宋体"/>
                <w:b w:val="0"/>
                <w:bCs w:val="0"/>
                <w:i w:val="0"/>
                <w:iCs w:val="0"/>
                <w:caps w:val="0"/>
                <w:color w:val="2F2F2F"/>
                <w:spacing w:val="0"/>
                <w:kern w:val="0"/>
                <w:sz w:val="30"/>
                <w:szCs w:val="30"/>
                <w:vertAlign w:val="baseline"/>
                <w:lang w:val="en-US" w:eastAsia="zh-CN" w:bidi="ar-SA"/>
              </w:rPr>
              <w:t>显示屏产品具备防蓝光护眼模式，并通过光生物安全检测；</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电源插头或电源引入段与外壳裸露 金属部件之间，应能承受</w:t>
            </w:r>
            <w:r>
              <w:rPr>
                <w:rFonts w:hint="eastAsia" w:ascii="宋体" w:hAnsi="宋体" w:eastAsia="宋体" w:cs="宋体"/>
                <w:b w:val="0"/>
                <w:bCs w:val="0"/>
                <w:i w:val="0"/>
                <w:iCs w:val="0"/>
                <w:caps w:val="0"/>
                <w:color w:val="2F2F2F"/>
                <w:spacing w:val="0"/>
                <w:kern w:val="0"/>
                <w:sz w:val="30"/>
                <w:szCs w:val="30"/>
                <w:vertAlign w:val="baseline"/>
                <w:lang w:val="en-US" w:eastAsia="en-US" w:bidi="ar-SA"/>
              </w:rPr>
              <w:t>2KV</w:t>
            </w:r>
            <w:r>
              <w:rPr>
                <w:rFonts w:hint="eastAsia" w:ascii="宋体" w:hAnsi="宋体" w:eastAsia="宋体" w:cs="宋体"/>
                <w:b w:val="0"/>
                <w:bCs w:val="0"/>
                <w:i w:val="0"/>
                <w:iCs w:val="0"/>
                <w:caps w:val="0"/>
                <w:color w:val="2F2F2F"/>
                <w:spacing w:val="0"/>
                <w:kern w:val="0"/>
                <w:sz w:val="30"/>
                <w:szCs w:val="30"/>
                <w:vertAlign w:val="baseline"/>
                <w:lang w:val="en-US" w:eastAsia="zh-CN" w:bidi="ar-SA"/>
              </w:rPr>
              <w:t>交流 电压历时1</w:t>
            </w:r>
            <w:r>
              <w:rPr>
                <w:rFonts w:hint="eastAsia" w:ascii="宋体" w:hAnsi="宋体" w:eastAsia="宋体" w:cs="宋体"/>
                <w:b w:val="0"/>
                <w:bCs w:val="0"/>
                <w:i w:val="0"/>
                <w:iCs w:val="0"/>
                <w:caps w:val="0"/>
                <w:color w:val="2F2F2F"/>
                <w:spacing w:val="0"/>
                <w:kern w:val="0"/>
                <w:sz w:val="30"/>
                <w:szCs w:val="30"/>
                <w:vertAlign w:val="baseline"/>
                <w:lang w:val="en-US" w:eastAsia="en-US" w:bidi="ar-SA"/>
              </w:rPr>
              <w:t>min</w:t>
            </w:r>
            <w:r>
              <w:rPr>
                <w:rFonts w:hint="eastAsia" w:ascii="宋体" w:hAnsi="宋体" w:eastAsia="宋体" w:cs="宋体"/>
                <w:b w:val="0"/>
                <w:bCs w:val="0"/>
                <w:i w:val="0"/>
                <w:iCs w:val="0"/>
                <w:caps w:val="0"/>
                <w:color w:val="2F2F2F"/>
                <w:spacing w:val="0"/>
                <w:kern w:val="0"/>
                <w:sz w:val="30"/>
                <w:szCs w:val="30"/>
                <w:vertAlign w:val="baseline"/>
                <w:lang w:val="en-US" w:eastAsia="zh-CN" w:bidi="ar-SA"/>
              </w:rPr>
              <w:t>的抗电强度试验， 应无击穿和飞弧现象</w:t>
            </w:r>
          </w:p>
          <w:p>
            <w:pPr>
              <w:numPr>
                <w:ilvl w:val="0"/>
                <w:numId w:val="3"/>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en-US" w:bidi="ar-SA"/>
              </w:rPr>
              <w:t>LED</w:t>
            </w:r>
            <w:r>
              <w:rPr>
                <w:rFonts w:hint="eastAsia" w:ascii="宋体" w:hAnsi="宋体" w:eastAsia="宋体" w:cs="宋体"/>
                <w:b w:val="0"/>
                <w:bCs w:val="0"/>
                <w:i w:val="0"/>
                <w:iCs w:val="0"/>
                <w:caps w:val="0"/>
                <w:color w:val="2F2F2F"/>
                <w:spacing w:val="0"/>
                <w:kern w:val="0"/>
                <w:sz w:val="30"/>
                <w:szCs w:val="30"/>
                <w:vertAlign w:val="baseline"/>
                <w:lang w:val="en-US" w:eastAsia="zh-CN" w:bidi="ar-SA"/>
              </w:rPr>
              <w:t>显示屏具有防静电、抗震动、 防电磁干扰、抗雷击等功能，具有 电源过压、过流、断电保护、分布 上电措施，具有实时监控温度、 障报警功能；</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jc w:val="both"/>
              <w:textAlignment w:val="baseline"/>
              <w:rPr>
                <w:rFonts w:hint="default" w:ascii="宋体" w:hAnsi="宋体" w:cs="宋体"/>
                <w:b w:val="0"/>
                <w:bCs w:val="0"/>
                <w:i w:val="0"/>
                <w:iCs w:val="0"/>
                <w:caps w:val="0"/>
                <w:color w:val="2F2F2F"/>
                <w:spacing w:val="0"/>
                <w:kern w:val="0"/>
                <w:sz w:val="30"/>
                <w:szCs w:val="30"/>
                <w:vertAlign w:val="baseline"/>
                <w:lang w:val="en-US" w:eastAsia="zh-CN" w:bidi="ar-SA"/>
              </w:rPr>
            </w:pPr>
            <w:r>
              <w:rPr>
                <w:rFonts w:hint="eastAsia" w:ascii="宋体" w:hAnsi="宋体" w:cs="宋体"/>
                <w:b w:val="0"/>
                <w:bCs w:val="0"/>
                <w:i w:val="0"/>
                <w:iCs w:val="0"/>
                <w:caps w:val="0"/>
                <w:color w:val="2F2F2F"/>
                <w:spacing w:val="0"/>
                <w:kern w:val="0"/>
                <w:sz w:val="30"/>
                <w:szCs w:val="30"/>
                <w:vertAlign w:val="baseline"/>
                <w:lang w:val="en-US" w:eastAsia="zh-CN" w:bidi="ar-SA"/>
              </w:rPr>
              <w:t>25.</w:t>
            </w: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w:t>
            </w:r>
            <w:r>
              <w:rPr>
                <w:rFonts w:hint="eastAsia" w:ascii="宋体" w:hAnsi="宋体" w:eastAsia="宋体" w:cs="宋体"/>
                <w:b w:val="0"/>
                <w:bCs w:val="0"/>
                <w:i w:val="0"/>
                <w:iCs w:val="0"/>
                <w:caps w:val="0"/>
                <w:color w:val="2F2F2F"/>
                <w:spacing w:val="0"/>
                <w:kern w:val="0"/>
                <w:sz w:val="30"/>
                <w:szCs w:val="30"/>
                <w:vertAlign w:val="baseline"/>
                <w:lang w:val="en-US" w:eastAsia="en-US" w:bidi="ar-SA"/>
              </w:rPr>
              <w:t>7X24</w:t>
            </w:r>
            <w:r>
              <w:rPr>
                <w:rFonts w:hint="eastAsia" w:ascii="宋体" w:hAnsi="宋体" w:eastAsia="宋体" w:cs="宋体"/>
                <w:b w:val="0"/>
                <w:bCs w:val="0"/>
                <w:i w:val="0"/>
                <w:iCs w:val="0"/>
                <w:caps w:val="0"/>
                <w:color w:val="2F2F2F"/>
                <w:spacing w:val="0"/>
                <w:kern w:val="0"/>
                <w:sz w:val="30"/>
                <w:szCs w:val="30"/>
                <w:vertAlign w:val="baseline"/>
                <w:lang w:val="en-US" w:eastAsia="zh-CN" w:bidi="ar-SA"/>
              </w:rPr>
              <w:t>小时无间断工作；平均无故障时间≥100000小时；寿命≥100000小时，故障平均修复时间≤15分钟</w:t>
            </w:r>
            <w:r>
              <w:rPr>
                <w:rFonts w:hint="eastAsia" w:ascii="宋体" w:hAnsi="宋体" w:cs="宋体"/>
                <w:b w:val="0"/>
                <w:bCs w:val="0"/>
                <w:i w:val="0"/>
                <w:iCs w:val="0"/>
                <w:caps w:val="0"/>
                <w:color w:val="2F2F2F"/>
                <w:spacing w:val="0"/>
                <w:kern w:val="0"/>
                <w:sz w:val="30"/>
                <w:szCs w:val="30"/>
                <w:vertAlign w:val="baseline"/>
                <w:lang w:val="en-US" w:eastAsia="zh-CN" w:bidi="ar-SA"/>
              </w:rPr>
              <w:t>。</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平方米</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9.98</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90天内</w:t>
            </w: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重庆市沙坪坝区大学城南路9号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2</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箱体</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材质为冷轧钢</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m</w:t>
            </w:r>
            <w:r>
              <w:rPr>
                <w:rFonts w:hint="eastAsia" w:ascii="宋体" w:hAnsi="宋体" w:cs="宋体"/>
                <w:b w:val="0"/>
                <w:bCs w:val="0"/>
                <w:i w:val="0"/>
                <w:iCs w:val="0"/>
                <w:caps w:val="0"/>
                <w:color w:val="2F2F2F"/>
                <w:spacing w:val="0"/>
                <w:sz w:val="30"/>
                <w:szCs w:val="30"/>
                <w:vertAlign w:val="superscript"/>
                <w:lang w:val="en-US" w:eastAsia="zh-CN"/>
              </w:rPr>
              <w:t>2</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9.98</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3</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可视化软件</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▲服务数据采集的视音频同步误差小于500ms；</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▲支持屏幕、网页、窗口等多种类型采集后投屏，不需要外接物理线缆，即可实现画面投屏显示；</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▲支持电脑桌面映像实时预览，并可反向控制桌面，实现远程控制，支持触摸屏控制。</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支持自定义分辨率桌面采集编码，包含但不限于下列分辨率3840x2160@60Hz、1920x1080@60Hz/50Hz、1280x720@60Hz/50Hz、1024x768@60Hz、1280x1024@60Hz；   </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▲支持无需显示接口即可将单台电脑扩展出16个不同画面同时显示；</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▲桌面实时预览延时≤150ms；</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▲支持多画面投屏，多屏显示画面间隔延时≤20us；</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软件支持分布式部署架构；</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软件支持WinServer2000、WinXP、Win7（32位、64位.、Win8（32位、64位、Win10（32位、64位.等Windows操作系统；</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支持采集多种桌面屏幕，包括单屏、扩展屏；</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支持用户截取画面任意区域显示输出；</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支持以下软件窗口抓取功能：EXCEL、WORD、PPT、IE、360、FireFox、Chrome、暴风影音、PDF、Outlook、Foxmail等；</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支持音频采集，支持音视频分离功能；</w:t>
            </w:r>
          </w:p>
          <w:p>
            <w:pPr>
              <w:numPr>
                <w:ilvl w:val="0"/>
                <w:numId w:val="4"/>
              </w:numPr>
              <w:bidi w:val="0"/>
              <w:ind w:left="425" w:leftChars="0" w:hanging="425"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支持修改通道名称；</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▲支持一键操作信号投放到屏幕上显示。</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eastAsia" w:ascii="宋体" w:hAnsi="宋体" w:eastAsia="宋体" w:cs="宋体"/>
                <w:b w:val="0"/>
                <w:bCs w:val="0"/>
                <w:i w:val="0"/>
                <w:iCs w:val="0"/>
                <w:caps w:val="0"/>
                <w:color w:val="2F2F2F"/>
                <w:spacing w:val="0"/>
                <w:sz w:val="30"/>
                <w:szCs w:val="30"/>
                <w:vertAlign w:val="baseline"/>
                <w:lang w:val="en-US" w:eastAsia="zh-CN"/>
              </w:rPr>
            </w:pP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套</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eastAsia" w:eastAsia="宋体"/>
                <w:b w:val="0"/>
                <w:bCs w:val="0"/>
                <w:color w:val="2F2F2F"/>
                <w:sz w:val="25"/>
                <w:szCs w:val="25"/>
                <w:lang w:val="en-US" w:eastAsia="zh-CN"/>
              </w:rPr>
            </w:pPr>
            <w:r>
              <w:rPr>
                <w:rFonts w:hint="eastAsia" w:ascii="宋体" w:hAnsi="宋体" w:cs="宋体"/>
                <w:b w:val="0"/>
                <w:bCs w:val="0"/>
                <w:i w:val="0"/>
                <w:iCs w:val="0"/>
                <w:caps w:val="0"/>
                <w:color w:val="2F2F2F"/>
                <w:spacing w:val="0"/>
                <w:sz w:val="30"/>
                <w:szCs w:val="30"/>
                <w:vertAlign w:val="baseline"/>
                <w:lang w:val="en-US" w:eastAsia="zh-CN"/>
              </w:rPr>
              <w:t>1</w:t>
            </w: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4</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播放盒</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Chars="0" w:right="0" w:rightChars="0"/>
              <w:textAlignment w:val="baseline"/>
              <w:rPr>
                <w:rFonts w:hint="default" w:ascii="宋体" w:hAnsi="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numPr>
                <w:ilvl w:val="0"/>
                <w:numId w:val="0"/>
              </w:numPr>
              <w:bidi w:val="0"/>
              <w:ind w:left="0" w:leftChars="0" w:firstLine="0" w:firstLineChars="0"/>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1.支持65万像素点带载能力，1路网口输出，最宽1920像素，最1080像素</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2.支持千兆有线网络</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3.支持立体音频输出</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4.支持多窗口输出模式</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5.支持 1080P 的视频硬解码； </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6.支持千兆有线网络、支持立体音频输出</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7.支持2 路 USB 接口，支持 U 盘节目导入播放</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8.支持4G联网功能</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9.支持板载亮度传感器接口，支持自动和定时的智能亮度调节</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 xml:space="preserve">10.支持PC 节目发布和显示屏控制、 局域网节目发布和显示屏控制、手机节目发布和显示屏控制 </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11.支持集群远程节目发布和显示屏控制、集群远程监控</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12.支持Android 操作系统软件、 Android 终端应用软件</w:t>
            </w:r>
            <w:r>
              <w:rPr>
                <w:rFonts w:hint="eastAsia" w:ascii="宋体" w:hAnsi="宋体" w:eastAsia="宋体" w:cs="宋体"/>
                <w:b w:val="0"/>
                <w:bCs w:val="0"/>
                <w:i w:val="0"/>
                <w:iCs w:val="0"/>
                <w:caps w:val="0"/>
                <w:color w:val="2F2F2F"/>
                <w:spacing w:val="0"/>
                <w:kern w:val="0"/>
                <w:sz w:val="30"/>
                <w:szCs w:val="30"/>
                <w:vertAlign w:val="baseline"/>
                <w:lang w:val="en-US" w:eastAsia="zh-CN" w:bidi="ar-SA"/>
              </w:rPr>
              <w:br w:type="textWrapping"/>
            </w:r>
            <w:r>
              <w:rPr>
                <w:rFonts w:hint="eastAsia" w:ascii="宋体" w:hAnsi="宋体" w:eastAsia="宋体" w:cs="宋体"/>
                <w:b w:val="0"/>
                <w:bCs w:val="0"/>
                <w:i w:val="0"/>
                <w:iCs w:val="0"/>
                <w:caps w:val="0"/>
                <w:color w:val="2F2F2F"/>
                <w:spacing w:val="0"/>
                <w:kern w:val="0"/>
                <w:sz w:val="30"/>
                <w:szCs w:val="30"/>
                <w:vertAlign w:val="baseline"/>
                <w:lang w:val="en-US" w:eastAsia="zh-CN" w:bidi="ar-SA"/>
              </w:rPr>
              <w:t>13.支持连接传感器转接板，可以扩展连接多种传感器</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个</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rFonts w:hint="default" w:ascii="宋体" w:hAnsi="宋体" w:eastAsia="宋体" w:cs="宋体"/>
                <w:b w:val="0"/>
                <w:bCs w:val="0"/>
                <w:i w:val="0"/>
                <w:iCs w:val="0"/>
                <w:caps w:val="0"/>
                <w:color w:val="2F2F2F"/>
                <w:spacing w:val="0"/>
                <w:sz w:val="30"/>
                <w:szCs w:val="30"/>
                <w:vertAlign w:val="baseline"/>
                <w:lang w:val="en-US" w:eastAsia="zh-CN"/>
              </w:rPr>
            </w:pPr>
            <w:r>
              <w:rPr>
                <w:rFonts w:hint="eastAsia" w:ascii="宋体" w:hAnsi="宋体" w:cs="宋体"/>
                <w:b w:val="0"/>
                <w:bCs w:val="0"/>
                <w:i w:val="0"/>
                <w:iCs w:val="0"/>
                <w:caps w:val="0"/>
                <w:color w:val="2F2F2F"/>
                <w:spacing w:val="0"/>
                <w:sz w:val="30"/>
                <w:szCs w:val="30"/>
                <w:vertAlign w:val="baseline"/>
                <w:lang w:val="en-US" w:eastAsia="zh-CN"/>
              </w:rPr>
              <w:t>1</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5</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电源</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输出功率：200W,50V40A</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套</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1</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6</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屏体钢结构</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钢材须符合国家标准，结构焊接点必须饱满，无虚焊、脱焊，有包边，保证无安全隐患。</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套</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1</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7</w:t>
            </w:r>
          </w:p>
        </w:tc>
        <w:tc>
          <w:tcPr>
            <w:tcW w:w="83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配套设备</w:t>
            </w:r>
          </w:p>
        </w:tc>
        <w:tc>
          <w:tcPr>
            <w:tcW w:w="499"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无</w:t>
            </w:r>
          </w:p>
        </w:tc>
        <w:tc>
          <w:tcPr>
            <w:tcW w:w="4402"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配套功放1个，音响2个，电源线1组满足设备正常使用</w:t>
            </w:r>
          </w:p>
        </w:tc>
        <w:tc>
          <w:tcPr>
            <w:tcW w:w="51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套</w:t>
            </w:r>
          </w:p>
        </w:tc>
        <w:tc>
          <w:tcPr>
            <w:tcW w:w="84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rightChars="0" w:firstLine="0" w:firstLineChars="0"/>
              <w:jc w:val="left"/>
              <w:textAlignment w:val="baseline"/>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宋体" w:hAnsi="宋体" w:eastAsia="宋体" w:cs="宋体"/>
                <w:b w:val="0"/>
                <w:bCs w:val="0"/>
                <w:i w:val="0"/>
                <w:iCs w:val="0"/>
                <w:caps w:val="0"/>
                <w:color w:val="2F2F2F"/>
                <w:spacing w:val="0"/>
                <w:kern w:val="0"/>
                <w:sz w:val="30"/>
                <w:szCs w:val="30"/>
                <w:vertAlign w:val="baseline"/>
                <w:lang w:val="en-US" w:eastAsia="zh-CN" w:bidi="ar-SA"/>
              </w:rPr>
              <w:t>1</w:t>
            </w:r>
          </w:p>
        </w:tc>
        <w:tc>
          <w:tcPr>
            <w:tcW w:w="404"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c>
          <w:tcPr>
            <w:tcW w:w="881"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369"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说明</w:t>
            </w:r>
          </w:p>
        </w:tc>
        <w:tc>
          <w:tcPr>
            <w:tcW w:w="8368" w:type="dxa"/>
            <w:gridSpan w:val="7"/>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1.报价方须对所投包内所有产品和数量进行唯一报价，否则视为无效报价。</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2.报价应包括所有货物供应、运输、安装调试、技术培训、售后服务、备品备件和伴随服务等价格。</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textAlignment w:val="baseline"/>
              <w:rPr>
                <w:b w:val="0"/>
                <w:bCs w:val="0"/>
                <w:color w:val="2F2F2F"/>
                <w:sz w:val="25"/>
                <w:szCs w:val="25"/>
              </w:rPr>
            </w:pPr>
            <w:r>
              <w:rPr>
                <w:rFonts w:hint="eastAsia" w:ascii="宋体" w:hAnsi="宋体" w:eastAsia="宋体" w:cs="宋体"/>
                <w:b w:val="0"/>
                <w:bCs w:val="0"/>
                <w:i w:val="0"/>
                <w:iCs w:val="0"/>
                <w:caps w:val="0"/>
                <w:color w:val="2F2F2F"/>
                <w:spacing w:val="0"/>
                <w:sz w:val="30"/>
                <w:szCs w:val="30"/>
                <w:vertAlign w:val="baseline"/>
              </w:rPr>
              <w:t>3.报价方必须保证所投产品为全新、未使用过的产品。</w:t>
            </w:r>
          </w:p>
        </w:tc>
      </w:tr>
    </w:tbl>
    <w:p>
      <w:pPr>
        <w:numPr>
          <w:ilvl w:val="0"/>
          <w:numId w:val="0"/>
        </w:numPr>
        <w:adjustRightInd w:val="0"/>
        <w:snapToGrid w:val="0"/>
        <w:spacing w:line="480" w:lineRule="exact"/>
        <w:ind w:firstLine="560" w:firstLineChars="200"/>
        <w:rPr>
          <w:rFonts w:hint="eastAsia" w:ascii="黑体" w:hAnsi="黑体" w:eastAsia="黑体" w:cs="黑体"/>
          <w:szCs w:val="28"/>
          <w:lang w:val="en-US" w:eastAsia="zh-CN"/>
        </w:rPr>
      </w:pPr>
    </w:p>
    <w:p>
      <w:pPr>
        <w:numPr>
          <w:ilvl w:val="0"/>
          <w:numId w:val="0"/>
        </w:numPr>
        <w:adjustRightInd w:val="0"/>
        <w:snapToGrid w:val="0"/>
        <w:spacing w:line="480" w:lineRule="exact"/>
        <w:ind w:firstLine="560" w:firstLineChars="200"/>
        <w:rPr>
          <w:rFonts w:ascii="黑体" w:hAnsi="黑体" w:eastAsia="黑体" w:cs="黑体"/>
          <w:szCs w:val="28"/>
        </w:rPr>
      </w:pPr>
      <w:r>
        <w:rPr>
          <w:rFonts w:hint="eastAsia" w:ascii="黑体" w:hAnsi="黑体" w:eastAsia="黑体" w:cs="黑体"/>
          <w:szCs w:val="28"/>
          <w:lang w:val="en-US" w:eastAsia="zh-CN"/>
        </w:rPr>
        <w:t>五、</w:t>
      </w: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3.具有履行协议所必需的设备和专业技术能力；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3.投标</w:t>
      </w:r>
      <w:r>
        <w:rPr>
          <w:rFonts w:hint="eastAsia" w:ascii="仿宋_GB2312" w:hAnsi="仿宋_GB2312" w:eastAsia="仿宋_GB2312" w:cs="仿宋_GB2312"/>
          <w:kern w:val="0"/>
          <w:szCs w:val="28"/>
          <w:lang w:eastAsia="zh-CN"/>
        </w:rPr>
        <w:t>设备</w:t>
      </w:r>
      <w:r>
        <w:rPr>
          <w:rFonts w:hint="eastAsia" w:ascii="仿宋_GB2312" w:hAnsi="仿宋_GB2312" w:eastAsia="仿宋_GB2312" w:cs="仿宋_GB2312"/>
          <w:kern w:val="0"/>
          <w:szCs w:val="28"/>
        </w:rPr>
        <w:t>必须是其主营或主营范围产品（以报价方提供的营业执照、经营许可证销售或代理授权书等证明材料为准）；</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5.如有其他特定资格条件，无则删除本条。（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560" w:firstLineChars="200"/>
        <w:textAlignment w:val="baseline"/>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六、评审标准</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560" w:firstLineChars="20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本项目采用综合评分法进行评标。综合评分法，是指投标文件满足招标文件全部实质性要求且按照评分因素的量化指标评审得分最高的投标人为中标候选人的评标方法。投标人总得分为投标价格、技术、售后服务、品牌实力部分等评定因素，分别按权重值计算分项得分后相加，满分100分。评分标准详情见下表：</w:t>
      </w:r>
    </w:p>
    <w:tbl>
      <w:tblPr>
        <w:tblStyle w:val="20"/>
        <w:tblpPr w:leftFromText="180" w:rightFromText="180" w:vertAnchor="text" w:horzAnchor="page" w:tblpX="1635" w:tblpY="433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481"/>
        <w:gridCol w:w="898"/>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4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序号</w:t>
            </w:r>
          </w:p>
        </w:tc>
        <w:tc>
          <w:tcPr>
            <w:tcW w:w="1481"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评分类别及权重</w:t>
            </w:r>
          </w:p>
        </w:tc>
        <w:tc>
          <w:tcPr>
            <w:tcW w:w="898"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分值</w:t>
            </w:r>
          </w:p>
        </w:tc>
        <w:tc>
          <w:tcPr>
            <w:tcW w:w="621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4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1481"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投标报价（30%）</w:t>
            </w:r>
          </w:p>
        </w:tc>
        <w:tc>
          <w:tcPr>
            <w:tcW w:w="898"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30分</w:t>
            </w:r>
          </w:p>
        </w:tc>
        <w:tc>
          <w:tcPr>
            <w:tcW w:w="621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以经评委会一致认定满足招标文件要求所有报价中扣除最高价及最低价后取平均值为评价基准价，其价格得分计30分。其他投标人的价格得分统一按公式计算：报价得分=评标基准价/实际报价*30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1" w:hRule="atLeast"/>
        </w:trPr>
        <w:tc>
          <w:tcPr>
            <w:tcW w:w="44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p>
        </w:tc>
        <w:tc>
          <w:tcPr>
            <w:tcW w:w="1481"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技术（45%）</w:t>
            </w:r>
          </w:p>
        </w:tc>
        <w:tc>
          <w:tcPr>
            <w:tcW w:w="898"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45分</w:t>
            </w:r>
          </w:p>
        </w:tc>
        <w:tc>
          <w:tcPr>
            <w:tcW w:w="621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1.标▲的参数为重要技术参数、指标，每项2分，不满足不得分（需提供国家权威检测机构出具的具有CNAS标志的检测报告复印件）；</w:t>
            </w:r>
          </w:p>
          <w:p>
            <w:pPr>
              <w:pStyle w:val="17"/>
              <w:keepNext w:val="0"/>
              <w:keepLines w:val="0"/>
              <w:widowControl/>
              <w:suppressLineNumbers w:val="0"/>
              <w:spacing w:before="0" w:beforeAutospacing="0" w:after="0" w:afterAutospacing="0" w:line="27" w:lineRule="atLeast"/>
              <w:ind w:right="0"/>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2.为保证软件稳定性，软件制造商必须通过软件成熟度CMMI5认证得5分，不提供不得分（提供证书复印件）；</w:t>
            </w:r>
          </w:p>
          <w:p>
            <w:pPr>
              <w:numPr>
                <w:ilvl w:val="0"/>
                <w:numId w:val="0"/>
              </w:numPr>
              <w:spacing w:line="240" w:lineRule="atLeast"/>
              <w:ind w:leftChars="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3.所投LED显示屏产品具备国家强制性产品CCC 认证证书，得3分，未提供不得分（提供证书复印件）；</w:t>
            </w:r>
          </w:p>
          <w:p>
            <w:pPr>
              <w:numPr>
                <w:ilvl w:val="0"/>
                <w:numId w:val="0"/>
              </w:numPr>
              <w:spacing w:line="240" w:lineRule="atLeas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4.所投LED显示屏具有有效的CE-EMC认证、CE-LVD认证、FCC认证、Rosh认证，提供证书复印件，每提供一项得1分，最高得4分，未提供不得分（提供证书复印件）；</w:t>
            </w:r>
          </w:p>
          <w:p>
            <w:pPr>
              <w:numPr>
                <w:ilvl w:val="0"/>
                <w:numId w:val="0"/>
              </w:numPr>
              <w:spacing w:line="240" w:lineRule="atLeast"/>
              <w:ind w:leftChars="0"/>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5.所投LED制造商具有中国节能产品认证证书，得3分，未提供不得分（提供证书复印件）；</w:t>
            </w:r>
          </w:p>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最多不超过权重分。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44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w:t>
            </w:r>
          </w:p>
        </w:tc>
        <w:tc>
          <w:tcPr>
            <w:tcW w:w="1481"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售后服务（10%）</w:t>
            </w:r>
          </w:p>
        </w:tc>
        <w:tc>
          <w:tcPr>
            <w:tcW w:w="898"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15分</w:t>
            </w:r>
          </w:p>
        </w:tc>
        <w:tc>
          <w:tcPr>
            <w:tcW w:w="6215" w:type="dxa"/>
            <w:noWrap w:val="0"/>
            <w:vAlign w:val="top"/>
          </w:tcPr>
          <w:p>
            <w:pPr>
              <w:pStyle w:val="17"/>
              <w:keepNext w:val="0"/>
              <w:keepLines w:val="0"/>
              <w:widowControl/>
              <w:numPr>
                <w:ilvl w:val="0"/>
                <w:numId w:val="5"/>
              </w:numPr>
              <w:suppressLineNumbers w:val="0"/>
              <w:spacing w:before="0" w:beforeAutospacing="0" w:after="0" w:afterAutospacing="0" w:line="27" w:lineRule="atLeast"/>
              <w:ind w:right="0"/>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整机质保：质保期2年，得5分，低于2年不得分；</w:t>
            </w:r>
          </w:p>
          <w:p>
            <w:pPr>
              <w:pStyle w:val="17"/>
              <w:keepNext w:val="0"/>
              <w:keepLines w:val="0"/>
              <w:widowControl/>
              <w:numPr>
                <w:ilvl w:val="0"/>
                <w:numId w:val="5"/>
              </w:numPr>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到位维修响应：根据对维修所投产品的到位维修响应时间排名，合理且最快的得</w:t>
            </w:r>
            <w:r>
              <w:rPr>
                <w:rFonts w:hint="eastAsia" w:ascii="仿宋_GB2312" w:hAnsi="仿宋_GB2312" w:eastAsia="仿宋_GB2312" w:cs="仿宋_GB2312"/>
                <w:kern w:val="0"/>
                <w:sz w:val="28"/>
                <w:szCs w:val="28"/>
                <w:lang w:val="en-US" w:eastAsia="zh-CN" w:bidi="ar-SA"/>
              </w:rPr>
              <w:t>5</w:t>
            </w:r>
            <w:r>
              <w:rPr>
                <w:rFonts w:hint="default" w:ascii="仿宋_GB2312" w:hAnsi="仿宋_GB2312" w:eastAsia="仿宋_GB2312" w:cs="仿宋_GB2312"/>
                <w:kern w:val="0"/>
                <w:sz w:val="28"/>
                <w:szCs w:val="28"/>
                <w:lang w:val="en-US" w:eastAsia="zh-CN" w:bidi="ar-SA"/>
              </w:rPr>
              <w:t>分，依次按标准分值25%比例递减，最低得0分。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2" w:hRule="atLeast"/>
        </w:trPr>
        <w:tc>
          <w:tcPr>
            <w:tcW w:w="445"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w:t>
            </w:r>
          </w:p>
        </w:tc>
        <w:tc>
          <w:tcPr>
            <w:tcW w:w="1481"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品牌实力（15%）</w:t>
            </w:r>
          </w:p>
        </w:tc>
        <w:tc>
          <w:tcPr>
            <w:tcW w:w="898" w:type="dxa"/>
            <w:noWrap w:val="0"/>
            <w:vAlign w:val="top"/>
          </w:tcPr>
          <w:p>
            <w:pPr>
              <w:pStyle w:val="17"/>
              <w:keepNext w:val="0"/>
              <w:keepLines w:val="0"/>
              <w:widowControl/>
              <w:suppressLineNumbers w:val="0"/>
              <w:spacing w:before="0" w:beforeAutospacing="0" w:after="0" w:afterAutospacing="0" w:line="27" w:lineRule="atLeast"/>
              <w:ind w:right="0"/>
              <w:textAlignment w:val="baseline"/>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10分</w:t>
            </w:r>
          </w:p>
        </w:tc>
        <w:tc>
          <w:tcPr>
            <w:tcW w:w="6215" w:type="dxa"/>
            <w:noWrap w:val="0"/>
            <w:vAlign w:val="top"/>
          </w:tcPr>
          <w:p>
            <w:pPr>
              <w:numPr>
                <w:ilvl w:val="0"/>
                <w:numId w:val="6"/>
              </w:numPr>
              <w:spacing w:line="240" w:lineRule="atLeas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LED显示屏制造商或集团具有安全标准化三级证书得3分，未提供不得分（提供证书复印件）；</w:t>
            </w:r>
          </w:p>
          <w:p>
            <w:pPr>
              <w:numPr>
                <w:ilvl w:val="0"/>
                <w:numId w:val="6"/>
              </w:numPr>
              <w:spacing w:line="240" w:lineRule="atLeas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软件制造商需具有推动行业绿色发展先进单位证书得3分，不提供不得分（提供证书复印件）；</w:t>
            </w:r>
          </w:p>
          <w:p>
            <w:pPr>
              <w:numPr>
                <w:ilvl w:val="0"/>
                <w:numId w:val="6"/>
              </w:numPr>
              <w:spacing w:line="240" w:lineRule="atLeast"/>
              <w:ind w:left="0" w:leftChars="0" w:firstLine="0" w:firstLineChars="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软件制造商属于CNNVD技术单位，得3分，未提供不得分（提供证书复印件）；</w:t>
            </w:r>
          </w:p>
          <w:p>
            <w:pPr>
              <w:numPr>
                <w:ilvl w:val="0"/>
                <w:numId w:val="6"/>
              </w:numPr>
              <w:spacing w:line="240" w:lineRule="atLeast"/>
              <w:ind w:left="0" w:leftChars="0" w:firstLine="0" w:firstLineChars="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所投LED制造商具有质量管理体系认证证书，环境管理体系认证证书职业健康管理体系认证证书，得3分，未提供不得分（提供证书复印件）；</w:t>
            </w:r>
          </w:p>
          <w:p>
            <w:pPr>
              <w:numPr>
                <w:ilvl w:val="0"/>
                <w:numId w:val="6"/>
              </w:numPr>
              <w:spacing w:line="240" w:lineRule="atLeast"/>
              <w:ind w:left="0" w:leftChars="0" w:firstLine="0" w:firstLineChars="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所投LED制造商具有信息安全管理体系认证证书、信息技术服务管理体系认证证书，得3分，未提供不得分（提供证书复印件）。</w:t>
            </w: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560" w:firstLineChars="200"/>
        <w:textAlignment w:val="baseline"/>
        <w:rPr>
          <w:rFonts w:hint="eastAsia" w:ascii="仿宋_GB2312" w:hAnsi="仿宋_GB2312" w:eastAsia="仿宋_GB2312" w:cs="仿宋_GB2312"/>
          <w:kern w:val="0"/>
          <w:sz w:val="28"/>
          <w:szCs w:val="28"/>
          <w:lang w:val="en-US" w:eastAsia="zh-CN" w:bidi="ar-SA"/>
        </w:rPr>
      </w:pPr>
    </w:p>
    <w:p>
      <w:pPr>
        <w:numPr>
          <w:ilvl w:val="0"/>
          <w:numId w:val="0"/>
        </w:numPr>
        <w:adjustRightInd w:val="0"/>
        <w:snapToGrid w:val="0"/>
        <w:spacing w:line="480" w:lineRule="exact"/>
        <w:ind w:leftChars="200"/>
        <w:rPr>
          <w:rFonts w:eastAsia="黑体"/>
          <w:szCs w:val="28"/>
        </w:rPr>
      </w:pPr>
      <w:r>
        <w:rPr>
          <w:rFonts w:hint="eastAsia" w:eastAsia="黑体"/>
          <w:szCs w:val="28"/>
          <w:lang w:val="en-US" w:eastAsia="zh-CN"/>
        </w:rPr>
        <w:t>七、</w:t>
      </w:r>
      <w:r>
        <w:rPr>
          <w:rFonts w:hint="eastAsia" w:eastAsia="黑体"/>
          <w:szCs w:val="28"/>
        </w:rPr>
        <w:t>询价文件申领时间、方式</w:t>
      </w:r>
    </w:p>
    <w:p>
      <w:pPr>
        <w:adjustRightInd w:val="0"/>
        <w:snapToGrid w:val="0"/>
        <w:spacing w:line="480" w:lineRule="exact"/>
        <w:ind w:firstLine="560" w:firstLineChars="200"/>
        <w:rPr>
          <w:rFonts w:hint="eastAsia" w:ascii="仿宋_GB2312" w:hAnsi="仿宋_GB2312" w:eastAsia="仿宋_GB2312" w:cs="仿宋_GB2312"/>
          <w:kern w:val="0"/>
          <w:szCs w:val="28"/>
          <w:lang w:eastAsia="zh-CN"/>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10</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30</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szCs w:val="28"/>
          <w:u w:val="single"/>
        </w:rPr>
        <w:t>00</w:t>
      </w:r>
      <w:r>
        <w:rPr>
          <w:rFonts w:hint="eastAsia" w:ascii="仿宋_GB2312" w:hAnsi="仿宋_GB2312" w:eastAsia="仿宋_GB2312" w:cs="仿宋_GB2312"/>
          <w:szCs w:val="28"/>
        </w:rPr>
        <w:t>分</w:t>
      </w:r>
      <w:r>
        <w:rPr>
          <w:rFonts w:hint="eastAsia" w:ascii="仿宋_GB2312" w:hAnsi="仿宋_GB2312" w:eastAsia="仿宋_GB2312" w:cs="仿宋_GB2312"/>
          <w:szCs w:val="28"/>
          <w:lang w:eastAsia="zh-CN"/>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0"/>
        </w:numPr>
        <w:adjustRightInd w:val="0"/>
        <w:snapToGrid w:val="0"/>
        <w:spacing w:line="480" w:lineRule="exact"/>
        <w:ind w:leftChars="200"/>
        <w:rPr>
          <w:rFonts w:ascii="黑体" w:hAnsi="黑体" w:eastAsia="黑体" w:cs="黑体"/>
          <w:szCs w:val="28"/>
        </w:rPr>
      </w:pPr>
      <w:r>
        <w:rPr>
          <w:rFonts w:hint="eastAsia" w:ascii="黑体" w:hAnsi="黑体" w:eastAsia="黑体" w:cs="黑体"/>
          <w:szCs w:val="28"/>
          <w:lang w:val="en-US" w:eastAsia="zh-CN"/>
        </w:rPr>
        <w:t>八、</w:t>
      </w:r>
      <w:r>
        <w:rPr>
          <w:rFonts w:hint="eastAsia" w:ascii="黑体" w:hAnsi="黑体" w:eastAsia="黑体" w:cs="黑体"/>
          <w:szCs w:val="28"/>
        </w:rPr>
        <w:t>报价文件递交：</w:t>
      </w:r>
    </w:p>
    <w:p>
      <w:pPr>
        <w:adjustRightInd w:val="0"/>
        <w:snapToGrid w:val="0"/>
        <w:spacing w:line="480" w:lineRule="exact"/>
        <w:ind w:firstLine="560" w:firstLineChars="200"/>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w:t>
      </w:r>
      <w:r>
        <w:rPr>
          <w:rFonts w:hint="eastAsia" w:ascii="仿宋_GB2312" w:hAnsi="仿宋_GB2312" w:eastAsia="仿宋_GB2312" w:cs="仿宋_GB2312"/>
          <w:szCs w:val="28"/>
          <w:u w:val="single"/>
          <w:lang w:val="en-US" w:eastAsia="zh-CN"/>
        </w:rPr>
        <w:t>1</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5</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szCs w:val="28"/>
          <w:u w:val="single"/>
        </w:rPr>
        <w:t>00</w:t>
      </w:r>
      <w:r>
        <w:rPr>
          <w:rFonts w:hint="eastAsia" w:ascii="仿宋_GB2312" w:hAnsi="仿宋_GB2312" w:eastAsia="仿宋_GB2312" w:cs="仿宋_GB2312"/>
          <w:szCs w:val="28"/>
        </w:rPr>
        <w:t>分</w:t>
      </w:r>
      <w:r>
        <w:rPr>
          <w:rFonts w:hint="eastAsia" w:ascii="仿宋_GB2312" w:hAnsi="仿宋_GB2312" w:eastAsia="仿宋_GB2312" w:cs="仿宋_GB2312"/>
          <w:i w:val="0"/>
          <w:iCs w:val="0"/>
          <w:szCs w:val="28"/>
        </w:rPr>
        <w:t>（公告日期结束后任意时间）</w:t>
      </w:r>
      <w:bookmarkStart w:id="0" w:name="_GoBack"/>
      <w:bookmarkEnd w:id="0"/>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（二）报价文件递交要求：封面签字盖章密封递交。</w:t>
      </w:r>
    </w:p>
    <w:p>
      <w:pPr>
        <w:snapToGrid w:val="0"/>
        <w:spacing w:line="480" w:lineRule="exact"/>
        <w:ind w:firstLine="560" w:firstLineChars="200"/>
        <w:jc w:val="left"/>
        <w:rPr>
          <w:rFonts w:eastAsia="仿宋_GB2312"/>
          <w:szCs w:val="28"/>
        </w:rPr>
      </w:pPr>
      <w:r>
        <w:rPr>
          <w:rFonts w:hint="eastAsia" w:eastAsia="仿宋_GB2312"/>
          <w:szCs w:val="28"/>
        </w:rPr>
        <w:t>1.询价申请人须备齐相关资料并密封装在文件袋中，于报价文件递交截止时间前寄送至询价人，也可现场递交。</w:t>
      </w:r>
    </w:p>
    <w:p>
      <w:pPr>
        <w:snapToGrid w:val="0"/>
        <w:spacing w:line="480" w:lineRule="exact"/>
        <w:ind w:firstLine="560" w:firstLineChars="200"/>
        <w:jc w:val="left"/>
        <w:rPr>
          <w:rFonts w:eastAsia="仿宋_GB2312"/>
          <w:szCs w:val="28"/>
        </w:rPr>
      </w:pPr>
      <w:r>
        <w:rPr>
          <w:rFonts w:hint="eastAsia" w:eastAsia="仿宋_GB2312"/>
          <w:szCs w:val="28"/>
        </w:rPr>
        <w:t>2须提交的文件：询价申请人须将下列文件一并装入文件袋、粘贴封条、加盖印章并密封</w:t>
      </w:r>
    </w:p>
    <w:p>
      <w:pPr>
        <w:snapToGrid w:val="0"/>
        <w:spacing w:line="480" w:lineRule="exact"/>
        <w:ind w:firstLine="560" w:firstLineChars="200"/>
        <w:jc w:val="left"/>
        <w:rPr>
          <w:rFonts w:eastAsia="仿宋_GB2312"/>
          <w:szCs w:val="28"/>
        </w:rPr>
      </w:pPr>
      <w:r>
        <w:rPr>
          <w:rFonts w:hint="eastAsia" w:eastAsia="仿宋_GB2312"/>
          <w:szCs w:val="28"/>
        </w:rPr>
        <w:t>（1）报价文件（含技术指标响应表，并附相关证明材料，格式自拟，加盖公章。）</w:t>
      </w:r>
    </w:p>
    <w:p>
      <w:pPr>
        <w:snapToGrid w:val="0"/>
        <w:spacing w:line="480" w:lineRule="exact"/>
        <w:ind w:firstLine="560" w:firstLineChars="200"/>
        <w:jc w:val="left"/>
        <w:rPr>
          <w:rFonts w:eastAsia="仿宋_GB2312"/>
          <w:szCs w:val="28"/>
        </w:rPr>
      </w:pPr>
      <w:r>
        <w:rPr>
          <w:rFonts w:hint="eastAsia" w:eastAsia="仿宋_GB2312"/>
          <w:szCs w:val="28"/>
        </w:rPr>
        <w:t>（2）营业执照，组织机构代码证，税务登记证或三证合一的（“统一社会信用代码的营业执照”）复印件加盖公章。</w:t>
      </w:r>
    </w:p>
    <w:p>
      <w:pPr>
        <w:snapToGrid w:val="0"/>
        <w:spacing w:line="480" w:lineRule="exact"/>
        <w:ind w:firstLine="560" w:firstLineChars="200"/>
        <w:jc w:val="left"/>
      </w:pPr>
      <w:r>
        <w:rPr>
          <w:rFonts w:hint="eastAsia" w:eastAsia="仿宋_GB2312"/>
          <w:szCs w:val="28"/>
        </w:rPr>
        <w:t>（3）保修承诺书。</w:t>
      </w:r>
    </w:p>
    <w:p>
      <w:pPr>
        <w:adjustRightInd w:val="0"/>
        <w:snapToGrid w:val="0"/>
        <w:spacing w:line="480" w:lineRule="exact"/>
        <w:ind w:firstLine="560" w:firstLineChars="200"/>
        <w:rPr>
          <w:rFonts w:hint="default" w:ascii="仿宋_GB2312" w:hAnsi="仿宋_GB2312" w:eastAsia="仿宋_GB2312" w:cs="仿宋_GB2312"/>
          <w:szCs w:val="28"/>
          <w:u w:val="single"/>
          <w:lang w:val="en-US" w:eastAsia="zh-CN"/>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u w:val="single"/>
        </w:rPr>
        <w:t>重庆市</w:t>
      </w:r>
      <w:r>
        <w:rPr>
          <w:rFonts w:hint="eastAsia" w:ascii="仿宋_GB2312" w:hAnsi="仿宋_GB2312" w:eastAsia="仿宋_GB2312" w:cs="仿宋_GB2312"/>
          <w:szCs w:val="28"/>
          <w:u w:val="single"/>
          <w:lang w:val="en-US" w:eastAsia="zh-CN"/>
        </w:rPr>
        <w:t>高新区大学城南路9号陆军军医大学虎溪校区。</w:t>
      </w:r>
    </w:p>
    <w:p>
      <w:pPr>
        <w:numPr>
          <w:ilvl w:val="0"/>
          <w:numId w:val="0"/>
        </w:numPr>
        <w:adjustRightInd w:val="0"/>
        <w:snapToGrid w:val="0"/>
        <w:spacing w:line="480" w:lineRule="exact"/>
        <w:ind w:leftChars="200"/>
        <w:rPr>
          <w:rFonts w:ascii="黑体" w:hAnsi="黑体" w:eastAsia="黑体" w:cs="黑体"/>
          <w:szCs w:val="28"/>
        </w:rPr>
      </w:pPr>
      <w:r>
        <w:rPr>
          <w:rFonts w:hint="eastAsia" w:ascii="黑体" w:hAnsi="黑体" w:eastAsia="黑体" w:cs="黑体"/>
          <w:szCs w:val="28"/>
          <w:lang w:val="en-US" w:eastAsia="zh-CN"/>
        </w:rPr>
        <w:t>九、</w:t>
      </w: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宋天恩 </w:t>
      </w:r>
      <w:r>
        <w:rPr>
          <w:rFonts w:hint="eastAsia" w:ascii="仿宋_GB2312" w:hAnsi="仿宋_GB2312" w:cs="仿宋_GB2312"/>
          <w:szCs w:val="28"/>
          <w:u w:val="single"/>
        </w:rPr>
        <w:t xml:space="preserve">  </w:t>
      </w:r>
    </w:p>
    <w:p>
      <w:pPr>
        <w:pStyle w:val="18"/>
        <w:snapToGrid w:val="0"/>
        <w:spacing w:after="0" w:line="480" w:lineRule="exact"/>
        <w:ind w:firstLine="560" w:firstLineChars="200"/>
        <w:rPr>
          <w:rFonts w:hint="default" w:ascii="仿宋_GB2312" w:hAnsi="仿宋_GB2312" w:eastAsia="仿宋_GB2312" w:cs="仿宋_GB2312"/>
          <w:szCs w:val="28"/>
          <w:u w:val="single"/>
          <w:lang w:val="en-US" w:eastAsia="zh-CN"/>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kern w:val="2"/>
          <w:szCs w:val="28"/>
          <w:u w:val="single"/>
          <w:lang w:val="en-US" w:eastAsia="zh-CN"/>
        </w:rPr>
        <w:t xml:space="preserve"> 18996338629  </w:t>
      </w:r>
      <w:r>
        <w:rPr>
          <w:rFonts w:hint="eastAsia" w:ascii="仿宋_GB2312" w:hAnsi="仿宋_GB2312" w:eastAsia="仿宋_GB2312" w:cs="仿宋_GB2312"/>
          <w:kern w:val="2"/>
          <w:szCs w:val="28"/>
          <w:lang w:val="en-US" w:eastAsia="zh-CN"/>
        </w:rPr>
        <w:t xml:space="preserve">   </w:t>
      </w:r>
    </w:p>
    <w:p>
      <w:pPr>
        <w:pStyle w:val="18"/>
        <w:rPr>
          <w:rFonts w:hint="default"/>
          <w:lang w:val="en-US" w:eastAsia="zh-CN"/>
        </w:rPr>
      </w:pPr>
      <w:r>
        <w:rPr>
          <w:rFonts w:hint="eastAsia" w:ascii="仿宋_GB2312" w:hAnsi="仿宋_GB2312" w:eastAsia="仿宋_GB2312" w:cs="仿宋_GB2312"/>
          <w:szCs w:val="28"/>
          <w:u w:val="single"/>
        </w:rPr>
        <w:br w:type="page"/>
      </w:r>
    </w:p>
    <w:p>
      <w:pPr>
        <w:numPr>
          <w:ilvl w:val="0"/>
          <w:numId w:val="0"/>
        </w:numPr>
        <w:adjustRightInd w:val="0"/>
        <w:snapToGrid w:val="0"/>
        <w:spacing w:line="480" w:lineRule="exact"/>
        <w:jc w:val="center"/>
        <w:rPr>
          <w:rFonts w:ascii="黑体" w:hAnsi="黑体" w:eastAsia="黑体" w:cs="黑体"/>
          <w:sz w:val="44"/>
          <w:szCs w:val="44"/>
        </w:rPr>
      </w:pPr>
      <w:r>
        <w:rPr>
          <w:rFonts w:hint="eastAsia" w:ascii="黑体" w:hAnsi="黑体" w:eastAsia="黑体" w:cs="黑体"/>
          <w:sz w:val="44"/>
          <w:szCs w:val="44"/>
          <w:lang w:val="en-US" w:eastAsia="zh-CN"/>
        </w:rPr>
        <w:t xml:space="preserve">第二部分  </w:t>
      </w:r>
      <w:r>
        <w:rPr>
          <w:rFonts w:hint="eastAsia" w:ascii="黑体" w:hAnsi="黑体" w:eastAsia="黑体" w:cs="黑体"/>
          <w:sz w:val="44"/>
          <w:szCs w:val="44"/>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w:t>
      </w:r>
      <w:r>
        <w:rPr>
          <w:rFonts w:hint="eastAsia" w:eastAsia="仿宋_GB2312"/>
          <w:szCs w:val="28"/>
          <w:lang w:eastAsia="zh-CN"/>
        </w:rPr>
        <w:t>中标人</w:t>
      </w:r>
      <w:r>
        <w:rPr>
          <w:rFonts w:hint="eastAsia" w:eastAsia="仿宋_GB2312"/>
          <w:szCs w:val="28"/>
        </w:rPr>
        <w:t>应在采购协议生效后</w:t>
      </w:r>
      <w:r>
        <w:rPr>
          <w:rFonts w:hint="eastAsia" w:eastAsia="仿宋_GB2312"/>
          <w:szCs w:val="28"/>
          <w:lang w:val="en-US" w:eastAsia="zh-CN"/>
        </w:rPr>
        <w:t>90天内</w:t>
      </w:r>
      <w:r>
        <w:rPr>
          <w:rFonts w:hint="eastAsia" w:eastAsia="仿宋_GB2312"/>
          <w:szCs w:val="28"/>
        </w:rPr>
        <w:t>内交付</w:t>
      </w:r>
      <w:r>
        <w:rPr>
          <w:rFonts w:hint="eastAsia" w:eastAsia="仿宋_GB2312"/>
          <w:szCs w:val="28"/>
          <w:lang w:eastAsia="zh-CN"/>
        </w:rPr>
        <w:t>设备</w:t>
      </w:r>
      <w:r>
        <w:rPr>
          <w:rFonts w:hint="eastAsia" w:eastAsia="仿宋_GB2312"/>
          <w:szCs w:val="28"/>
        </w:rPr>
        <w:t>。</w:t>
      </w:r>
    </w:p>
    <w:p>
      <w:pPr>
        <w:snapToGrid w:val="0"/>
        <w:spacing w:line="480" w:lineRule="exact"/>
        <w:ind w:firstLine="560" w:firstLineChars="200"/>
        <w:jc w:val="left"/>
        <w:rPr>
          <w:rFonts w:eastAsia="仿宋_GB2312"/>
          <w:szCs w:val="28"/>
        </w:rPr>
      </w:pPr>
      <w:r>
        <w:rPr>
          <w:rFonts w:hint="eastAsia" w:eastAsia="仿宋_GB2312"/>
          <w:szCs w:val="28"/>
        </w:rPr>
        <w:t>2.实施地点：</w:t>
      </w:r>
      <w:r>
        <w:rPr>
          <w:rFonts w:hint="eastAsia" w:eastAsia="仿宋_GB2312"/>
          <w:szCs w:val="28"/>
          <w:lang w:val="en-US" w:eastAsia="zh-CN"/>
        </w:rPr>
        <w:t>户外显示屏要求安装在招标区域指定位置</w:t>
      </w:r>
      <w:r>
        <w:rPr>
          <w:rFonts w:hint="eastAsia" w:eastAsia="仿宋_GB2312"/>
          <w:szCs w:val="28"/>
        </w:rPr>
        <w:t>。</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rPr>
        <w:t>3.实施方式：</w:t>
      </w:r>
      <w:r>
        <w:rPr>
          <w:rFonts w:hint="eastAsia" w:eastAsia="仿宋_GB2312"/>
          <w:szCs w:val="28"/>
          <w:lang w:val="en-US" w:eastAsia="zh-CN"/>
        </w:rPr>
        <w:t>招标人提供场地，由投标人自行安装和连接户外显示屏设备所需电源、控制系统、线路等。</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4.安装要求：该项目由本校提供场地，安装户外显示屏及其配套设备所需电线管材电路改造费用均由中标人提供。且中标人须保证管线安装规范，美观大方，管线不外露，无安全隐患。</w:t>
      </w:r>
    </w:p>
    <w:p>
      <w:pPr>
        <w:snapToGrid w:val="0"/>
        <w:spacing w:line="480" w:lineRule="exact"/>
        <w:ind w:firstLine="560" w:firstLineChars="200"/>
        <w:jc w:val="left"/>
        <w:rPr>
          <w:rFonts w:hint="eastAsia" w:eastAsia="仿宋_GB2312"/>
          <w:szCs w:val="28"/>
        </w:rPr>
      </w:pPr>
      <w:r>
        <w:rPr>
          <w:rFonts w:hint="eastAsia" w:eastAsia="仿宋_GB2312"/>
          <w:szCs w:val="28"/>
          <w:lang w:val="en-US" w:eastAsia="zh-CN"/>
        </w:rPr>
        <w:t>5.交付方式：中标人</w:t>
      </w:r>
      <w:r>
        <w:rPr>
          <w:rFonts w:hint="eastAsia" w:eastAsia="仿宋_GB2312"/>
          <w:szCs w:val="28"/>
        </w:rPr>
        <w:t>按照采购协议要求交付</w:t>
      </w:r>
      <w:r>
        <w:rPr>
          <w:rFonts w:hint="eastAsia" w:eastAsia="仿宋_GB2312"/>
          <w:szCs w:val="28"/>
          <w:lang w:eastAsia="zh-CN"/>
        </w:rPr>
        <w:t>设备</w:t>
      </w:r>
      <w:r>
        <w:rPr>
          <w:rFonts w:hint="eastAsia" w:eastAsia="仿宋_GB2312"/>
          <w:szCs w:val="28"/>
        </w:rPr>
        <w:t>，经调试合格后双方签字验收</w:t>
      </w:r>
      <w:r>
        <w:rPr>
          <w:rFonts w:hint="eastAsia" w:eastAsia="仿宋_GB2312"/>
          <w:szCs w:val="28"/>
          <w:lang w:eastAsia="zh-CN"/>
        </w:rPr>
        <w:t>，</w:t>
      </w:r>
      <w:r>
        <w:rPr>
          <w:rFonts w:hint="eastAsia" w:eastAsia="仿宋_GB2312"/>
          <w:szCs w:val="28"/>
          <w:lang w:val="en-US" w:eastAsia="zh-CN"/>
        </w:rPr>
        <w:t>并在项目验收时将设备全部有关产品说明书、原厂家安装手册等资料交付采购人。</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val="en-US" w:eastAsia="zh-CN"/>
        </w:rPr>
        <w:t>质量要求</w:t>
      </w:r>
    </w:p>
    <w:p>
      <w:p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1.中标人需保证此项目所有设备为全新设备，服务期内设备的维保维修均由中标人负责。</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2.中标人提供户外显示屏属于国家规定“三包”范围的，其产品质量保证期不得低于“三包”规定。</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val="en-US" w:eastAsia="zh-CN"/>
        </w:rPr>
        <w:t>三</w:t>
      </w:r>
      <w:r>
        <w:rPr>
          <w:rFonts w:hint="eastAsia" w:ascii="楷体_GB2312" w:hAnsi="楷体_GB2312" w:eastAsia="楷体_GB2312" w:cs="楷体_GB2312"/>
          <w:szCs w:val="28"/>
        </w:rPr>
        <w:t>）售后服务</w:t>
      </w:r>
    </w:p>
    <w:p>
      <w:pPr>
        <w:snapToGrid w:val="0"/>
        <w:spacing w:line="480" w:lineRule="exact"/>
        <w:ind w:firstLine="560" w:firstLineChars="200"/>
        <w:jc w:val="left"/>
        <w:rPr>
          <w:rFonts w:hint="eastAsia" w:eastAsia="仿宋_GB2312"/>
          <w:szCs w:val="28"/>
        </w:rPr>
      </w:pPr>
      <w:r>
        <w:rPr>
          <w:rFonts w:hint="eastAsia" w:eastAsia="仿宋_GB2312"/>
          <w:szCs w:val="28"/>
        </w:rPr>
        <w:t>1.</w:t>
      </w:r>
      <w:r>
        <w:rPr>
          <w:rFonts w:hint="eastAsia" w:eastAsia="仿宋_GB2312"/>
          <w:szCs w:val="28"/>
          <w:lang w:val="en-US" w:eastAsia="zh-CN"/>
        </w:rPr>
        <w:t>设备自</w:t>
      </w:r>
      <w:r>
        <w:rPr>
          <w:rFonts w:hint="eastAsia" w:eastAsia="仿宋_GB2312"/>
          <w:szCs w:val="28"/>
        </w:rPr>
        <w:t>验收合格之日起，</w:t>
      </w:r>
      <w:r>
        <w:rPr>
          <w:rFonts w:hint="eastAsia" w:eastAsia="仿宋_GB2312"/>
          <w:szCs w:val="28"/>
          <w:lang w:eastAsia="zh-CN"/>
        </w:rPr>
        <w:t>中标人</w:t>
      </w:r>
      <w:r>
        <w:rPr>
          <w:rFonts w:hint="eastAsia" w:eastAsia="仿宋_GB2312"/>
          <w:szCs w:val="28"/>
        </w:rPr>
        <w:t>提供</w:t>
      </w:r>
      <w:r>
        <w:rPr>
          <w:rFonts w:hint="eastAsia" w:eastAsia="仿宋_GB2312"/>
          <w:szCs w:val="28"/>
          <w:u w:val="single"/>
          <w:lang w:val="en-US" w:eastAsia="zh-CN"/>
        </w:rPr>
        <w:t>2</w:t>
      </w:r>
      <w:r>
        <w:rPr>
          <w:rFonts w:hint="eastAsia" w:eastAsia="仿宋_GB2312"/>
          <w:szCs w:val="28"/>
        </w:rPr>
        <w:t>年质保期（国家标准高于2年的按国家标准执行），质保期内</w:t>
      </w:r>
      <w:r>
        <w:rPr>
          <w:rFonts w:hint="eastAsia" w:eastAsia="仿宋_GB2312"/>
          <w:szCs w:val="28"/>
          <w:lang w:val="en-US" w:eastAsia="zh-CN"/>
        </w:rPr>
        <w:t>整机维修的所有材料及配件一律免费提供（人为因素损坏按成本计算）</w:t>
      </w:r>
      <w:r>
        <w:rPr>
          <w:rFonts w:hint="eastAsia" w:eastAsia="仿宋_GB2312"/>
          <w:szCs w:val="28"/>
        </w:rPr>
        <w:t>。</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2.</w:t>
      </w:r>
      <w:r>
        <w:rPr>
          <w:rFonts w:hint="eastAsia" w:eastAsia="仿宋_GB2312"/>
          <w:szCs w:val="28"/>
        </w:rPr>
        <w:t>质保期内，若标的物发生故障，</w:t>
      </w:r>
      <w:r>
        <w:rPr>
          <w:rFonts w:hint="eastAsia" w:eastAsia="仿宋_GB2312"/>
          <w:szCs w:val="28"/>
          <w:lang w:eastAsia="zh-CN"/>
        </w:rPr>
        <w:t>中标人</w:t>
      </w:r>
      <w:r>
        <w:rPr>
          <w:rFonts w:hint="eastAsia" w:eastAsia="仿宋_GB2312"/>
          <w:szCs w:val="28"/>
        </w:rPr>
        <w:t>接到甲方通知后</w:t>
      </w:r>
      <w:r>
        <w:rPr>
          <w:rFonts w:hint="eastAsia" w:eastAsia="仿宋_GB2312"/>
          <w:szCs w:val="28"/>
          <w:lang w:val="en-US" w:eastAsia="zh-CN"/>
        </w:rPr>
        <w:t>应在</w:t>
      </w:r>
      <w:r>
        <w:rPr>
          <w:rFonts w:hint="eastAsia" w:eastAsia="仿宋_GB2312"/>
          <w:szCs w:val="28"/>
          <w:u w:val="single"/>
          <w:lang w:val="en-US" w:eastAsia="zh-CN"/>
        </w:rPr>
        <w:t>4</w:t>
      </w:r>
      <w:r>
        <w:rPr>
          <w:rFonts w:hint="eastAsia" w:eastAsia="仿宋_GB2312"/>
          <w:szCs w:val="28"/>
          <w:lang w:val="en-US" w:eastAsia="zh-CN"/>
        </w:rPr>
        <w:t>小时内响应，</w:t>
      </w:r>
      <w:r>
        <w:rPr>
          <w:rFonts w:hint="eastAsia" w:eastAsia="仿宋_GB2312"/>
          <w:szCs w:val="28"/>
          <w:u w:val="single"/>
          <w:lang w:val="en-US" w:eastAsia="zh-CN"/>
        </w:rPr>
        <w:t>72</w:t>
      </w:r>
      <w:r>
        <w:rPr>
          <w:rFonts w:hint="eastAsia" w:eastAsia="仿宋_GB2312"/>
          <w:szCs w:val="28"/>
          <w:lang w:val="en-US" w:eastAsia="zh-CN"/>
        </w:rPr>
        <w:t>小时内</w:t>
      </w:r>
      <w:r>
        <w:rPr>
          <w:rFonts w:hint="eastAsia" w:eastAsia="仿宋_GB2312"/>
          <w:szCs w:val="28"/>
        </w:rPr>
        <w:t>到场修复</w:t>
      </w:r>
      <w:r>
        <w:rPr>
          <w:rFonts w:hint="eastAsia" w:eastAsia="仿宋_GB2312"/>
          <w:szCs w:val="28"/>
          <w:lang w:eastAsia="zh-CN"/>
        </w:rPr>
        <w:t>。</w:t>
      </w:r>
      <w:r>
        <w:rPr>
          <w:rFonts w:hint="eastAsia" w:eastAsia="仿宋_GB2312"/>
          <w:szCs w:val="28"/>
          <w:lang w:val="en-US" w:eastAsia="zh-CN"/>
        </w:rPr>
        <w:t>由中标人将设备、材料送至采购方指定地点进行安装，保证采购人正常使用，运输和安装费用由中标人承担。</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3</w:t>
      </w:r>
      <w:r>
        <w:rPr>
          <w:rFonts w:hint="eastAsia" w:eastAsia="仿宋_GB2312"/>
          <w:szCs w:val="28"/>
        </w:rPr>
        <w:t>.超过保修期的产品出现质量问题，</w:t>
      </w:r>
      <w:r>
        <w:rPr>
          <w:rFonts w:hint="eastAsia" w:eastAsia="仿宋_GB2312"/>
          <w:szCs w:val="28"/>
          <w:lang w:eastAsia="zh-CN"/>
        </w:rPr>
        <w:t>中标人</w:t>
      </w:r>
      <w:r>
        <w:rPr>
          <w:rFonts w:hint="eastAsia" w:eastAsia="仿宋_GB2312"/>
          <w:szCs w:val="28"/>
        </w:rPr>
        <w:t>只向甲方收取零配件成本费。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eastAsia="仿宋_GB2312"/>
          <w:szCs w:val="28"/>
        </w:rPr>
      </w:pPr>
      <w:r>
        <w:rPr>
          <w:rFonts w:hint="eastAsia" w:eastAsia="仿宋_GB2312"/>
          <w:szCs w:val="28"/>
        </w:rPr>
        <w:t>协议签订后，标的物经采购人收货验收合格，签字确认后支付协议全款。</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（四）</w:t>
      </w:r>
      <w:r>
        <w:rPr>
          <w:rFonts w:hint="eastAsia" w:ascii="楷体_GB2312" w:hAnsi="楷体_GB2312" w:eastAsia="楷体_GB2312" w:cs="楷体_GB2312"/>
          <w:szCs w:val="28"/>
          <w:lang w:val="en-US" w:eastAsia="zh-CN"/>
        </w:rPr>
        <w:t>产权责任</w:t>
      </w:r>
    </w:p>
    <w:p>
      <w:pPr>
        <w:snapToGrid w:val="0"/>
        <w:spacing w:line="480" w:lineRule="exact"/>
        <w:ind w:firstLine="560" w:firstLineChars="200"/>
        <w:jc w:val="left"/>
        <w:rPr>
          <w:rFonts w:eastAsia="仿宋_GB2312"/>
          <w:szCs w:val="28"/>
        </w:rPr>
      </w:pPr>
      <w:r>
        <w:rPr>
          <w:rFonts w:hint="eastAsia" w:eastAsia="仿宋_GB2312"/>
          <w:szCs w:val="28"/>
          <w:lang w:eastAsia="zh-CN"/>
        </w:rPr>
        <w:t>中标人</w:t>
      </w:r>
      <w:r>
        <w:rPr>
          <w:rFonts w:hint="eastAsia" w:eastAsia="仿宋_GB2312"/>
          <w:szCs w:val="28"/>
        </w:rPr>
        <w:t>保证</w:t>
      </w:r>
      <w:r>
        <w:rPr>
          <w:rFonts w:hint="eastAsia" w:eastAsia="仿宋_GB2312"/>
          <w:szCs w:val="28"/>
          <w:lang w:val="en-US" w:eastAsia="zh-CN"/>
        </w:rPr>
        <w:t>提供的设备</w:t>
      </w:r>
      <w:r>
        <w:rPr>
          <w:rFonts w:hint="eastAsia" w:eastAsia="仿宋_GB2312"/>
          <w:szCs w:val="28"/>
        </w:rPr>
        <w:t>为合法所</w:t>
      </w:r>
      <w:r>
        <w:rPr>
          <w:rFonts w:hint="eastAsia" w:eastAsia="仿宋_GB2312"/>
          <w:szCs w:val="28"/>
          <w:lang w:val="en-US" w:eastAsia="zh-CN"/>
        </w:rPr>
        <w:t>得</w:t>
      </w:r>
      <w:r>
        <w:rPr>
          <w:rFonts w:hint="eastAsia" w:eastAsia="仿宋_GB2312"/>
          <w:szCs w:val="28"/>
        </w:rPr>
        <w:t>，</w:t>
      </w:r>
      <w:r>
        <w:rPr>
          <w:rFonts w:hint="eastAsia" w:eastAsia="仿宋_GB2312"/>
          <w:szCs w:val="28"/>
          <w:lang w:eastAsia="zh-CN"/>
        </w:rPr>
        <w:t>中标人</w:t>
      </w:r>
      <w:r>
        <w:rPr>
          <w:rFonts w:hint="eastAsia" w:eastAsia="仿宋_GB2312"/>
          <w:szCs w:val="28"/>
        </w:rPr>
        <w:t>有权</w:t>
      </w:r>
      <w:r>
        <w:rPr>
          <w:rFonts w:hint="eastAsia" w:eastAsia="仿宋_GB2312"/>
          <w:szCs w:val="28"/>
          <w:lang w:val="en-US" w:eastAsia="zh-CN"/>
        </w:rPr>
        <w:t>售予</w:t>
      </w:r>
      <w:r>
        <w:rPr>
          <w:rFonts w:hint="eastAsia" w:eastAsia="仿宋_GB2312"/>
          <w:szCs w:val="28"/>
        </w:rPr>
        <w:t>采购人</w:t>
      </w:r>
      <w:r>
        <w:rPr>
          <w:rFonts w:hint="eastAsia" w:eastAsia="仿宋_GB2312"/>
          <w:szCs w:val="28"/>
          <w:lang w:val="en-US" w:eastAsia="zh-CN"/>
        </w:rPr>
        <w:t>所有权</w:t>
      </w:r>
      <w:r>
        <w:rPr>
          <w:rFonts w:hint="eastAsia" w:eastAsia="仿宋_GB2312"/>
          <w:szCs w:val="28"/>
        </w:rPr>
        <w:t>。如果第三方提出侵权指控，</w:t>
      </w:r>
      <w:r>
        <w:rPr>
          <w:rFonts w:hint="eastAsia" w:eastAsia="仿宋_GB2312"/>
          <w:szCs w:val="28"/>
          <w:lang w:eastAsia="zh-CN"/>
        </w:rPr>
        <w:t>中标人</w:t>
      </w:r>
      <w:r>
        <w:rPr>
          <w:rFonts w:hint="eastAsia" w:eastAsia="仿宋_GB2312"/>
          <w:szCs w:val="28"/>
        </w:rPr>
        <w:t>应承担由此而引起的一切法律责任和费用。</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（五）事故责任</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中标人对设备在使用过程中出现因设备及安装引起的安全事故负全责，并承担安全事故及其造成的人身伤害事故等相应赔偿。</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（六）其他。</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无</w:t>
      </w: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p>
    <w:p>
      <w:pPr>
        <w:pStyle w:val="2"/>
        <w:numPr>
          <w:ilvl w:val="0"/>
          <w:numId w:val="0"/>
        </w:numPr>
        <w:jc w:val="center"/>
        <w:rPr>
          <w:rFonts w:ascii="Arial Unicode MS" w:hAnsi="Arial Unicode MS" w:eastAsia="Arial Unicode MS" w:cs="Arial Unicode MS"/>
          <w:b w:val="0"/>
          <w:bCs w:val="0"/>
          <w:szCs w:val="28"/>
        </w:rPr>
      </w:pPr>
      <w:r>
        <w:rPr>
          <w:rFonts w:hint="eastAsia" w:ascii="Arial Unicode MS" w:hAnsi="Arial Unicode MS" w:cs="Arial Unicode MS"/>
          <w:b w:val="0"/>
          <w:bCs w:val="0"/>
          <w:szCs w:val="28"/>
          <w:lang w:val="en-US" w:eastAsia="zh-CN"/>
        </w:rPr>
        <w:t xml:space="preserve">第三部分  </w:t>
      </w: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u w:val="single"/>
              </w:rPr>
            </w:pPr>
            <w:r>
              <w:rPr>
                <w:rStyle w:val="41"/>
                <w:rFonts w:hint="default"/>
                <w:sz w:val="48"/>
                <w:szCs w:val="48"/>
                <w:lang w:bidi="ar"/>
              </w:rPr>
              <w:t xml:space="preserve">    </w:t>
            </w:r>
            <w:r>
              <w:rPr>
                <w:rStyle w:val="42"/>
                <w:rFonts w:hint="default"/>
                <w:i w:val="0"/>
                <w:iCs w:val="0"/>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ind w:firstLine="240"/>
              <w:jc w:val="center"/>
            </w:pPr>
            <w:r>
              <w:rPr>
                <w:rFonts w:hint="eastAsia"/>
                <w:sz w:val="24"/>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w:pict>
          <v:shape id="文本框 5" o:spid="_x0000_s2052"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文本框 6" o:spid="_x0000_s2053"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szCs w:val="28"/>
        </w:rPr>
      </w:pPr>
    </w:p>
    <w:p>
      <w:pPr>
        <w:rPr>
          <w:szCs w:val="28"/>
        </w:rPr>
      </w:pPr>
    </w:p>
    <w:p>
      <w:pPr>
        <w:rPr>
          <w:szCs w:val="28"/>
        </w:rPr>
      </w:pPr>
    </w:p>
    <w:p>
      <w:pPr>
        <w:rPr>
          <w:szCs w:val="28"/>
        </w:rPr>
      </w:pPr>
    </w:p>
    <w:p>
      <w:pPr>
        <w:rPr>
          <w:kern w:val="0"/>
          <w:szCs w:val="28"/>
        </w:rPr>
      </w:pPr>
    </w:p>
    <w:p>
      <w:pPr>
        <w:pStyle w:val="18"/>
        <w:ind w:firstLine="201"/>
        <w:rPr>
          <w:szCs w:val="28"/>
        </w:rPr>
      </w:pPr>
    </w:p>
    <w:p>
      <w:pPr>
        <w:rPr>
          <w:kern w:val="0"/>
          <w:szCs w:val="28"/>
        </w:rPr>
      </w:pPr>
    </w:p>
    <w:p>
      <w:pPr>
        <w:pStyle w:val="18"/>
        <w:ind w:firstLine="201"/>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w:pict>
          <v:shape id="文本框 1" o:spid="_x0000_s2051"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_x0000_s2050" o:spid="_x0000_s2050"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18"/>
        <w:ind w:firstLine="201"/>
      </w:pPr>
    </w:p>
    <w:p>
      <w:pPr>
        <w:pStyle w:val="18"/>
        <w:ind w:firstLine="201"/>
        <w:rPr>
          <w:rFonts w:hint="eastAsia" w:ascii="楷体_GB2312" w:hAnsi="楷体_GB2312" w:eastAsia="仿宋" w:cs="楷体_GB2312"/>
          <w:szCs w:val="28"/>
          <w:lang w:val="en-US" w:eastAsia="zh-CN"/>
        </w:rPr>
        <w:sectPr>
          <w:headerReference r:id="rId10" w:type="default"/>
          <w:footerReference r:id="rId11" w:type="default"/>
          <w:pgSz w:w="11906" w:h="16838"/>
          <w:pgMar w:top="1440" w:right="1800" w:bottom="1440" w:left="1800" w:header="851" w:footer="992" w:gutter="0"/>
          <w:cols w:space="425" w:num="1"/>
          <w:docGrid w:type="lines" w:linePitch="312" w:charSpace="0"/>
        </w:sectPr>
      </w:pPr>
      <w:r>
        <w:rPr>
          <w:rFonts w:hint="eastAsia" w:eastAsia="仿宋"/>
        </w:rPr>
        <w:t>注：本内容适用于授权委托代理人，法定代表人授权书须法定代表人签字授权</w:t>
      </w:r>
      <w:r>
        <w:rPr>
          <w:rFonts w:hint="eastAsia" w:eastAsia="仿宋"/>
          <w:lang w:eastAsia="zh-CN"/>
        </w:rPr>
        <w:t>。</w:t>
      </w:r>
    </w:p>
    <w:p>
      <w:pPr>
        <w:pStyle w:val="1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8C7FCB-B83F-4505-B6E3-3C34ADCD75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F00ECD14-EE9B-4779-9E9C-F81D8583DD65}"/>
  </w:font>
  <w:font w:name="微软雅黑">
    <w:panose1 w:val="020B0503020204020204"/>
    <w:charset w:val="86"/>
    <w:family w:val="auto"/>
    <w:pitch w:val="default"/>
    <w:sig w:usb0="80000287" w:usb1="2ACF3C50" w:usb2="00000016" w:usb3="00000000" w:csb0="0004001F" w:csb1="00000000"/>
    <w:embedRegular r:id="rId3" w:fontKey="{A38D1C53-985F-49F6-811B-00B50D915982}"/>
  </w:font>
  <w:font w:name="方正大标宋简体">
    <w:altName w:val="微软雅黑"/>
    <w:panose1 w:val="00000000000000000000"/>
    <w:charset w:val="86"/>
    <w:family w:val="script"/>
    <w:pitch w:val="default"/>
    <w:sig w:usb0="00000000" w:usb1="00000000" w:usb2="00000010" w:usb3="00000000" w:csb0="00040000" w:csb1="00000000"/>
    <w:embedRegular r:id="rId4" w:fontKey="{CCB87150-3F71-48A5-B36C-CC0EBFF669C9}"/>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5" w:fontKey="{1EEF235A-4C38-417A-AF8F-6CFCC8038A1A}"/>
  </w:font>
  <w:font w:name="仿宋">
    <w:panose1 w:val="02010609060101010101"/>
    <w:charset w:val="86"/>
    <w:family w:val="modern"/>
    <w:pitch w:val="default"/>
    <w:sig w:usb0="800002BF" w:usb1="38CF7CFA" w:usb2="00000016" w:usb3="00000000" w:csb0="00040001" w:csb1="00000000"/>
    <w:embedRegular r:id="rId6" w:fontKey="{02578876-A36B-407D-9701-4FCC3221078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v:path/>
          <v:fill on="f" focussize="0,0"/>
          <v:stroke on="f" joinstyle="miter"/>
          <v:imagedata o:title=""/>
          <o:lock v:ext="edit"/>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Cs w:val="28"/>
      </w:rPr>
    </w:pPr>
    <w:r>
      <w:rPr>
        <w:rStyle w:val="23"/>
        <w:rFonts w:hint="eastAsia" w:ascii="宋体" w:hAnsi="宋体"/>
        <w:szCs w:val="28"/>
      </w:rPr>
      <w:t>—</w:t>
    </w:r>
    <w:r>
      <w:rPr>
        <w:rStyle w:val="23"/>
        <w:rFonts w:ascii="宋体" w:hAnsi="宋体"/>
        <w:szCs w:val="28"/>
      </w:rPr>
      <w:fldChar w:fldCharType="begin"/>
    </w:r>
    <w:r>
      <w:rPr>
        <w:rStyle w:val="23"/>
        <w:rFonts w:ascii="宋体" w:hAnsi="宋体"/>
        <w:szCs w:val="28"/>
      </w:rPr>
      <w:instrText xml:space="preserve">PAGE  </w:instrText>
    </w:r>
    <w:r>
      <w:rPr>
        <w:rStyle w:val="23"/>
        <w:rFonts w:ascii="宋体" w:hAnsi="宋体"/>
        <w:szCs w:val="28"/>
      </w:rPr>
      <w:fldChar w:fldCharType="separate"/>
    </w:r>
    <w:r>
      <w:rPr>
        <w:rStyle w:val="23"/>
        <w:rFonts w:ascii="宋体" w:hAnsi="宋体"/>
        <w:szCs w:val="28"/>
      </w:rPr>
      <w:t>10</w:t>
    </w:r>
    <w:r>
      <w:rPr>
        <w:rStyle w:val="23"/>
        <w:rFonts w:ascii="宋体" w:hAnsi="宋体"/>
        <w:szCs w:val="28"/>
      </w:rPr>
      <w:fldChar w:fldCharType="end"/>
    </w:r>
    <w:r>
      <w:rPr>
        <w:rStyle w:val="23"/>
        <w:rFonts w:hint="eastAsia" w:ascii="宋体" w:hAnsi="宋体"/>
        <w:szCs w:val="28"/>
      </w:rPr>
      <w:t>—</w:t>
    </w:r>
  </w:p>
  <w:p>
    <w:pPr>
      <w:pStyle w:val="12"/>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68653"/>
    <w:multiLevelType w:val="singleLevel"/>
    <w:tmpl w:val="96B68653"/>
    <w:lvl w:ilvl="0" w:tentative="0">
      <w:start w:val="1"/>
      <w:numFmt w:val="decimal"/>
      <w:lvlText w:val="%1."/>
      <w:lvlJc w:val="left"/>
      <w:pPr>
        <w:tabs>
          <w:tab w:val="left" w:pos="312"/>
        </w:tabs>
      </w:pPr>
    </w:lvl>
  </w:abstractNum>
  <w:abstractNum w:abstractNumId="1">
    <w:nsid w:val="9E045433"/>
    <w:multiLevelType w:val="singleLevel"/>
    <w:tmpl w:val="9E045433"/>
    <w:lvl w:ilvl="0" w:tentative="0">
      <w:start w:val="1"/>
      <w:numFmt w:val="decimal"/>
      <w:lvlText w:val="%1."/>
      <w:lvlJc w:val="left"/>
      <w:pPr>
        <w:ind w:left="425" w:hanging="425"/>
      </w:pPr>
      <w:rPr>
        <w:rFonts w:hint="default"/>
      </w:rPr>
    </w:lvl>
  </w:abstractNum>
  <w:abstractNum w:abstractNumId="2">
    <w:nsid w:val="A4C41F85"/>
    <w:multiLevelType w:val="singleLevel"/>
    <w:tmpl w:val="A4C41F85"/>
    <w:lvl w:ilvl="0" w:tentative="0">
      <w:start w:val="1"/>
      <w:numFmt w:val="decimal"/>
      <w:lvlText w:val="%1."/>
      <w:lvlJc w:val="left"/>
      <w:pPr>
        <w:ind w:left="425" w:hanging="425"/>
      </w:pPr>
      <w:rPr>
        <w:rFonts w:hint="default"/>
      </w:rPr>
    </w:lvl>
  </w:abstractNum>
  <w:abstractNum w:abstractNumId="3">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E19557C6"/>
    <w:multiLevelType w:val="singleLevel"/>
    <w:tmpl w:val="E19557C6"/>
    <w:lvl w:ilvl="0" w:tentative="0">
      <w:start w:val="1"/>
      <w:numFmt w:val="chineseCounting"/>
      <w:suff w:val="space"/>
      <w:lvlText w:val="第%1部分"/>
      <w:lvlJc w:val="left"/>
      <w:rPr>
        <w:rFonts w:hint="eastAsia"/>
      </w:rPr>
    </w:lvl>
  </w:abstractNum>
  <w:abstractNum w:abstractNumId="5">
    <w:nsid w:val="7DC09FB7"/>
    <w:multiLevelType w:val="singleLevel"/>
    <w:tmpl w:val="7DC09FB7"/>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mZDE4MzlmMTQyMjE1Yjk4ZGIzNDJjNjA5NzhhNT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0026"/>
    <w:rsid w:val="0007370D"/>
    <w:rsid w:val="000770DD"/>
    <w:rsid w:val="00082AEF"/>
    <w:rsid w:val="00083364"/>
    <w:rsid w:val="00091B84"/>
    <w:rsid w:val="000A5D46"/>
    <w:rsid w:val="000A6D0C"/>
    <w:rsid w:val="000B3A64"/>
    <w:rsid w:val="000D2073"/>
    <w:rsid w:val="000D3A1D"/>
    <w:rsid w:val="000D551C"/>
    <w:rsid w:val="000D6E74"/>
    <w:rsid w:val="000E2AF7"/>
    <w:rsid w:val="000F4B27"/>
    <w:rsid w:val="000F6D08"/>
    <w:rsid w:val="00107BAB"/>
    <w:rsid w:val="00131918"/>
    <w:rsid w:val="00137C02"/>
    <w:rsid w:val="0014076F"/>
    <w:rsid w:val="00170DB6"/>
    <w:rsid w:val="0017159F"/>
    <w:rsid w:val="001716CA"/>
    <w:rsid w:val="001716F0"/>
    <w:rsid w:val="00171D5C"/>
    <w:rsid w:val="001720AC"/>
    <w:rsid w:val="00172D1F"/>
    <w:rsid w:val="001831AB"/>
    <w:rsid w:val="0019636B"/>
    <w:rsid w:val="001A1E77"/>
    <w:rsid w:val="001B15BA"/>
    <w:rsid w:val="001B29BC"/>
    <w:rsid w:val="001C078F"/>
    <w:rsid w:val="001C3A2E"/>
    <w:rsid w:val="001C7FAA"/>
    <w:rsid w:val="001D3DC1"/>
    <w:rsid w:val="001D6F95"/>
    <w:rsid w:val="001E463B"/>
    <w:rsid w:val="001F2136"/>
    <w:rsid w:val="001F676A"/>
    <w:rsid w:val="0020164F"/>
    <w:rsid w:val="00203263"/>
    <w:rsid w:val="00203C5A"/>
    <w:rsid w:val="00204B6A"/>
    <w:rsid w:val="002132D1"/>
    <w:rsid w:val="00214897"/>
    <w:rsid w:val="0021520F"/>
    <w:rsid w:val="002361DB"/>
    <w:rsid w:val="00260514"/>
    <w:rsid w:val="00264888"/>
    <w:rsid w:val="00271032"/>
    <w:rsid w:val="0028424C"/>
    <w:rsid w:val="002877B2"/>
    <w:rsid w:val="00293B2B"/>
    <w:rsid w:val="002A44AB"/>
    <w:rsid w:val="002B39C5"/>
    <w:rsid w:val="002D0EE2"/>
    <w:rsid w:val="002E04E4"/>
    <w:rsid w:val="00305149"/>
    <w:rsid w:val="00315DA4"/>
    <w:rsid w:val="0032001B"/>
    <w:rsid w:val="0032350B"/>
    <w:rsid w:val="00326E86"/>
    <w:rsid w:val="00332201"/>
    <w:rsid w:val="00332BEF"/>
    <w:rsid w:val="00352D17"/>
    <w:rsid w:val="00352D72"/>
    <w:rsid w:val="003706E3"/>
    <w:rsid w:val="0037349A"/>
    <w:rsid w:val="003A0F0C"/>
    <w:rsid w:val="003A2CC4"/>
    <w:rsid w:val="003A6866"/>
    <w:rsid w:val="003B379C"/>
    <w:rsid w:val="003D3A7D"/>
    <w:rsid w:val="003E4694"/>
    <w:rsid w:val="003E6CC5"/>
    <w:rsid w:val="003F4457"/>
    <w:rsid w:val="0041298A"/>
    <w:rsid w:val="00412A87"/>
    <w:rsid w:val="00414521"/>
    <w:rsid w:val="00421048"/>
    <w:rsid w:val="004223BD"/>
    <w:rsid w:val="00422928"/>
    <w:rsid w:val="00422A65"/>
    <w:rsid w:val="0043247E"/>
    <w:rsid w:val="0044132E"/>
    <w:rsid w:val="00445A14"/>
    <w:rsid w:val="00450B3D"/>
    <w:rsid w:val="00454FB6"/>
    <w:rsid w:val="00460015"/>
    <w:rsid w:val="0046249A"/>
    <w:rsid w:val="00477571"/>
    <w:rsid w:val="004A092D"/>
    <w:rsid w:val="004A15F8"/>
    <w:rsid w:val="004A36DD"/>
    <w:rsid w:val="004B2397"/>
    <w:rsid w:val="004C5882"/>
    <w:rsid w:val="004C5F49"/>
    <w:rsid w:val="004D18A3"/>
    <w:rsid w:val="004D2004"/>
    <w:rsid w:val="004D7404"/>
    <w:rsid w:val="004E3778"/>
    <w:rsid w:val="004E7D53"/>
    <w:rsid w:val="004F10A5"/>
    <w:rsid w:val="004F2E66"/>
    <w:rsid w:val="004F3E95"/>
    <w:rsid w:val="004F5DD0"/>
    <w:rsid w:val="00512C41"/>
    <w:rsid w:val="00517001"/>
    <w:rsid w:val="00525B3B"/>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3B7E"/>
    <w:rsid w:val="005D4297"/>
    <w:rsid w:val="005E4B2B"/>
    <w:rsid w:val="005E5C21"/>
    <w:rsid w:val="005F3F5E"/>
    <w:rsid w:val="005F4DD7"/>
    <w:rsid w:val="0061547C"/>
    <w:rsid w:val="006337FD"/>
    <w:rsid w:val="00634B3A"/>
    <w:rsid w:val="00665A8C"/>
    <w:rsid w:val="00666E2C"/>
    <w:rsid w:val="00677DBB"/>
    <w:rsid w:val="00685CBC"/>
    <w:rsid w:val="00686328"/>
    <w:rsid w:val="006A0182"/>
    <w:rsid w:val="006B3E2F"/>
    <w:rsid w:val="006B7E39"/>
    <w:rsid w:val="006D1AE1"/>
    <w:rsid w:val="006D7B74"/>
    <w:rsid w:val="006E797E"/>
    <w:rsid w:val="006F11AE"/>
    <w:rsid w:val="006F1A9D"/>
    <w:rsid w:val="00700171"/>
    <w:rsid w:val="007005ED"/>
    <w:rsid w:val="0071366D"/>
    <w:rsid w:val="00715726"/>
    <w:rsid w:val="00720916"/>
    <w:rsid w:val="00730E3E"/>
    <w:rsid w:val="00732A0E"/>
    <w:rsid w:val="00733154"/>
    <w:rsid w:val="00745AD9"/>
    <w:rsid w:val="00753F58"/>
    <w:rsid w:val="00756F57"/>
    <w:rsid w:val="0075756C"/>
    <w:rsid w:val="00757BB6"/>
    <w:rsid w:val="00761DC8"/>
    <w:rsid w:val="0077555E"/>
    <w:rsid w:val="00785C81"/>
    <w:rsid w:val="00786E3E"/>
    <w:rsid w:val="00787764"/>
    <w:rsid w:val="00791354"/>
    <w:rsid w:val="00796E35"/>
    <w:rsid w:val="007A0DC5"/>
    <w:rsid w:val="007C0F35"/>
    <w:rsid w:val="007C4F70"/>
    <w:rsid w:val="007D43F3"/>
    <w:rsid w:val="007D470A"/>
    <w:rsid w:val="007D592E"/>
    <w:rsid w:val="007F0121"/>
    <w:rsid w:val="00803D6E"/>
    <w:rsid w:val="00804720"/>
    <w:rsid w:val="008102FB"/>
    <w:rsid w:val="00810706"/>
    <w:rsid w:val="008220EC"/>
    <w:rsid w:val="00840267"/>
    <w:rsid w:val="00842062"/>
    <w:rsid w:val="00847D8E"/>
    <w:rsid w:val="00851DDC"/>
    <w:rsid w:val="008572E2"/>
    <w:rsid w:val="00860600"/>
    <w:rsid w:val="008668B9"/>
    <w:rsid w:val="00875FA8"/>
    <w:rsid w:val="008777EB"/>
    <w:rsid w:val="008778EB"/>
    <w:rsid w:val="008B04DE"/>
    <w:rsid w:val="008B6C3D"/>
    <w:rsid w:val="008C24E6"/>
    <w:rsid w:val="008C3CEF"/>
    <w:rsid w:val="008C481B"/>
    <w:rsid w:val="008D03DD"/>
    <w:rsid w:val="008D58D2"/>
    <w:rsid w:val="008F06D9"/>
    <w:rsid w:val="008F1EBB"/>
    <w:rsid w:val="008F736E"/>
    <w:rsid w:val="0092443A"/>
    <w:rsid w:val="0092462D"/>
    <w:rsid w:val="0094241D"/>
    <w:rsid w:val="009438A5"/>
    <w:rsid w:val="00944BB6"/>
    <w:rsid w:val="00947DAF"/>
    <w:rsid w:val="0095172E"/>
    <w:rsid w:val="009620D3"/>
    <w:rsid w:val="00972FEA"/>
    <w:rsid w:val="00974EBD"/>
    <w:rsid w:val="00981735"/>
    <w:rsid w:val="00986B25"/>
    <w:rsid w:val="009915C8"/>
    <w:rsid w:val="009A4430"/>
    <w:rsid w:val="009A5867"/>
    <w:rsid w:val="009A7C84"/>
    <w:rsid w:val="009A7FAF"/>
    <w:rsid w:val="009B25D0"/>
    <w:rsid w:val="009B642A"/>
    <w:rsid w:val="009B7C47"/>
    <w:rsid w:val="009C7FB4"/>
    <w:rsid w:val="009D0D87"/>
    <w:rsid w:val="009E2897"/>
    <w:rsid w:val="00A134B4"/>
    <w:rsid w:val="00A14E54"/>
    <w:rsid w:val="00A3195B"/>
    <w:rsid w:val="00A40F31"/>
    <w:rsid w:val="00A419E6"/>
    <w:rsid w:val="00A81862"/>
    <w:rsid w:val="00A8190E"/>
    <w:rsid w:val="00A81F44"/>
    <w:rsid w:val="00A8220C"/>
    <w:rsid w:val="00A9081C"/>
    <w:rsid w:val="00A9126D"/>
    <w:rsid w:val="00A9792A"/>
    <w:rsid w:val="00AA393F"/>
    <w:rsid w:val="00AA39CB"/>
    <w:rsid w:val="00AB5FDC"/>
    <w:rsid w:val="00AC1483"/>
    <w:rsid w:val="00AC5063"/>
    <w:rsid w:val="00AF3591"/>
    <w:rsid w:val="00B15F80"/>
    <w:rsid w:val="00B23BB9"/>
    <w:rsid w:val="00B24C79"/>
    <w:rsid w:val="00B25D61"/>
    <w:rsid w:val="00B509C7"/>
    <w:rsid w:val="00B51B88"/>
    <w:rsid w:val="00B529B0"/>
    <w:rsid w:val="00B66C53"/>
    <w:rsid w:val="00B740F3"/>
    <w:rsid w:val="00B81310"/>
    <w:rsid w:val="00B853B1"/>
    <w:rsid w:val="00B96048"/>
    <w:rsid w:val="00BA1877"/>
    <w:rsid w:val="00BA1A3C"/>
    <w:rsid w:val="00BC7B4B"/>
    <w:rsid w:val="00BD32AB"/>
    <w:rsid w:val="00BF0416"/>
    <w:rsid w:val="00C020E5"/>
    <w:rsid w:val="00C0658C"/>
    <w:rsid w:val="00C12587"/>
    <w:rsid w:val="00C1625D"/>
    <w:rsid w:val="00C206A6"/>
    <w:rsid w:val="00C32703"/>
    <w:rsid w:val="00C35B08"/>
    <w:rsid w:val="00C463DB"/>
    <w:rsid w:val="00C5176F"/>
    <w:rsid w:val="00C55921"/>
    <w:rsid w:val="00C85D94"/>
    <w:rsid w:val="00C873F4"/>
    <w:rsid w:val="00C87CA5"/>
    <w:rsid w:val="00C901E6"/>
    <w:rsid w:val="00C90292"/>
    <w:rsid w:val="00C91ED5"/>
    <w:rsid w:val="00C94925"/>
    <w:rsid w:val="00CB7787"/>
    <w:rsid w:val="00CC653E"/>
    <w:rsid w:val="00CC6727"/>
    <w:rsid w:val="00CC694D"/>
    <w:rsid w:val="00CC729E"/>
    <w:rsid w:val="00CD2E04"/>
    <w:rsid w:val="00CF1DCE"/>
    <w:rsid w:val="00D03BD2"/>
    <w:rsid w:val="00D050B2"/>
    <w:rsid w:val="00D06112"/>
    <w:rsid w:val="00D06506"/>
    <w:rsid w:val="00D15779"/>
    <w:rsid w:val="00D47737"/>
    <w:rsid w:val="00D50775"/>
    <w:rsid w:val="00D6301B"/>
    <w:rsid w:val="00D677A6"/>
    <w:rsid w:val="00D85100"/>
    <w:rsid w:val="00D958FB"/>
    <w:rsid w:val="00DA1664"/>
    <w:rsid w:val="00DA1D7A"/>
    <w:rsid w:val="00DA7497"/>
    <w:rsid w:val="00DC107C"/>
    <w:rsid w:val="00DC14C1"/>
    <w:rsid w:val="00DC2C69"/>
    <w:rsid w:val="00DD2719"/>
    <w:rsid w:val="00DD2937"/>
    <w:rsid w:val="00DE1206"/>
    <w:rsid w:val="00DF5C20"/>
    <w:rsid w:val="00E01BE1"/>
    <w:rsid w:val="00E06491"/>
    <w:rsid w:val="00E066F0"/>
    <w:rsid w:val="00E069F9"/>
    <w:rsid w:val="00E167C3"/>
    <w:rsid w:val="00E2450F"/>
    <w:rsid w:val="00E43C84"/>
    <w:rsid w:val="00E46AE4"/>
    <w:rsid w:val="00E569FD"/>
    <w:rsid w:val="00E62D40"/>
    <w:rsid w:val="00E67189"/>
    <w:rsid w:val="00E70599"/>
    <w:rsid w:val="00E72147"/>
    <w:rsid w:val="00E72430"/>
    <w:rsid w:val="00E74F4E"/>
    <w:rsid w:val="00E8137A"/>
    <w:rsid w:val="00E849E9"/>
    <w:rsid w:val="00E8652F"/>
    <w:rsid w:val="00E92123"/>
    <w:rsid w:val="00E9542D"/>
    <w:rsid w:val="00E97744"/>
    <w:rsid w:val="00EB551D"/>
    <w:rsid w:val="00EB6628"/>
    <w:rsid w:val="00EC1556"/>
    <w:rsid w:val="00ED47FF"/>
    <w:rsid w:val="00EE6576"/>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E3BB1"/>
    <w:rsid w:val="00FF2B5F"/>
    <w:rsid w:val="00FF590C"/>
    <w:rsid w:val="057D419D"/>
    <w:rsid w:val="07AD5E6F"/>
    <w:rsid w:val="07E34A3F"/>
    <w:rsid w:val="09420C01"/>
    <w:rsid w:val="097E7AC3"/>
    <w:rsid w:val="0ACC161D"/>
    <w:rsid w:val="0B0C1D12"/>
    <w:rsid w:val="0B47616D"/>
    <w:rsid w:val="0D157BAE"/>
    <w:rsid w:val="11674266"/>
    <w:rsid w:val="11F10593"/>
    <w:rsid w:val="143D7A24"/>
    <w:rsid w:val="14765EED"/>
    <w:rsid w:val="14AF636D"/>
    <w:rsid w:val="150474D2"/>
    <w:rsid w:val="155A18C9"/>
    <w:rsid w:val="184945FA"/>
    <w:rsid w:val="19D31442"/>
    <w:rsid w:val="1CCE22DB"/>
    <w:rsid w:val="1CEB5018"/>
    <w:rsid w:val="1D7A26DD"/>
    <w:rsid w:val="1E421D2E"/>
    <w:rsid w:val="20672FDF"/>
    <w:rsid w:val="218A45FE"/>
    <w:rsid w:val="26286664"/>
    <w:rsid w:val="264D0F5A"/>
    <w:rsid w:val="2AB6291A"/>
    <w:rsid w:val="2C245261"/>
    <w:rsid w:val="2D0755A0"/>
    <w:rsid w:val="2E28703E"/>
    <w:rsid w:val="2EED207D"/>
    <w:rsid w:val="2FEA50F6"/>
    <w:rsid w:val="30B402AF"/>
    <w:rsid w:val="3104090C"/>
    <w:rsid w:val="35500CBF"/>
    <w:rsid w:val="36372989"/>
    <w:rsid w:val="37A42A2A"/>
    <w:rsid w:val="39A3641F"/>
    <w:rsid w:val="39FB3CDF"/>
    <w:rsid w:val="3C446528"/>
    <w:rsid w:val="3D2C1CF5"/>
    <w:rsid w:val="3DD74805"/>
    <w:rsid w:val="3E0B36C0"/>
    <w:rsid w:val="3E0B5931"/>
    <w:rsid w:val="3FF12096"/>
    <w:rsid w:val="42BE57D3"/>
    <w:rsid w:val="43A62AD6"/>
    <w:rsid w:val="46CD3E3E"/>
    <w:rsid w:val="46F920D7"/>
    <w:rsid w:val="478F7ED7"/>
    <w:rsid w:val="481F6B1F"/>
    <w:rsid w:val="48E064A0"/>
    <w:rsid w:val="49A37EA2"/>
    <w:rsid w:val="49AD43E4"/>
    <w:rsid w:val="4AAF059D"/>
    <w:rsid w:val="4B5C7602"/>
    <w:rsid w:val="4BC10EEB"/>
    <w:rsid w:val="4C4872E4"/>
    <w:rsid w:val="4DEE0395"/>
    <w:rsid w:val="4EFA3256"/>
    <w:rsid w:val="4F152E6B"/>
    <w:rsid w:val="50084B0C"/>
    <w:rsid w:val="505C602E"/>
    <w:rsid w:val="50D0256E"/>
    <w:rsid w:val="52300C85"/>
    <w:rsid w:val="52C928ED"/>
    <w:rsid w:val="53793538"/>
    <w:rsid w:val="54E22292"/>
    <w:rsid w:val="54FC3833"/>
    <w:rsid w:val="55830A0D"/>
    <w:rsid w:val="55DA5204"/>
    <w:rsid w:val="581E5623"/>
    <w:rsid w:val="586E0370"/>
    <w:rsid w:val="58DD72E9"/>
    <w:rsid w:val="5A04249F"/>
    <w:rsid w:val="5A386675"/>
    <w:rsid w:val="5A3A31B3"/>
    <w:rsid w:val="5C7B138E"/>
    <w:rsid w:val="5E6E102A"/>
    <w:rsid w:val="5EB63A29"/>
    <w:rsid w:val="5FFE018B"/>
    <w:rsid w:val="62423965"/>
    <w:rsid w:val="62A3501A"/>
    <w:rsid w:val="64E517E3"/>
    <w:rsid w:val="66F707C1"/>
    <w:rsid w:val="670F4A2A"/>
    <w:rsid w:val="68B27EEE"/>
    <w:rsid w:val="6B8B6553"/>
    <w:rsid w:val="6CF509AA"/>
    <w:rsid w:val="6D9A218A"/>
    <w:rsid w:val="6E66587A"/>
    <w:rsid w:val="6EFC7023"/>
    <w:rsid w:val="702E553E"/>
    <w:rsid w:val="72FB2DC4"/>
    <w:rsid w:val="75C41AF5"/>
    <w:rsid w:val="75EE17D5"/>
    <w:rsid w:val="7778345E"/>
    <w:rsid w:val="77DD57B4"/>
    <w:rsid w:val="7807171E"/>
    <w:rsid w:val="79BF69E3"/>
    <w:rsid w:val="7CC926F6"/>
    <w:rsid w:val="7D1260EF"/>
    <w:rsid w:val="7E3711BB"/>
    <w:rsid w:val="7E866349"/>
    <w:rsid w:val="7F3B4D56"/>
    <w:rsid w:val="7FD35BFF"/>
    <w:rsid w:val="7FD57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1"/>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0"/>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微软雅黑"/>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微软雅黑" w:hAnsi="微软雅黑" w:eastAsia="微软雅黑" w:cs="微软雅黑"/>
      <w:color w:val="000000"/>
      <w:sz w:val="52"/>
      <w:szCs w:val="52"/>
      <w:u w:val="single"/>
    </w:rPr>
  </w:style>
  <w:style w:type="character" w:customStyle="1" w:styleId="42">
    <w:name w:val="font61"/>
    <w:basedOn w:val="21"/>
    <w:qFormat/>
    <w:uiPriority w:val="0"/>
    <w:rPr>
      <w:rFonts w:hint="eastAsia" w:ascii="微软雅黑" w:hAnsi="微软雅黑" w:eastAsia="微软雅黑" w:cs="微软雅黑"/>
      <w:i/>
      <w:iCs/>
      <w:color w:val="000000"/>
      <w:sz w:val="52"/>
      <w:szCs w:val="52"/>
      <w:u w:val="single"/>
    </w:rPr>
  </w:style>
  <w:style w:type="character" w:customStyle="1" w:styleId="43">
    <w:name w:val="font41"/>
    <w:basedOn w:val="21"/>
    <w:qFormat/>
    <w:uiPriority w:val="0"/>
    <w:rPr>
      <w:rFonts w:hint="eastAsia" w:ascii="微软雅黑" w:hAnsi="微软雅黑" w:eastAsia="微软雅黑" w:cs="微软雅黑"/>
      <w:color w:val="000000"/>
      <w:sz w:val="52"/>
      <w:szCs w:val="52"/>
      <w:u w:val="none"/>
    </w:rPr>
  </w:style>
  <w:style w:type="character" w:customStyle="1" w:styleId="4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2052"/>
    <customShpInfo spid="_x0000_s205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476</Words>
  <Characters>2716</Characters>
  <Lines>22</Lines>
  <Paragraphs>6</Paragraphs>
  <TotalTime>8</TotalTime>
  <ScaleCrop>false</ScaleCrop>
  <LinksUpToDate>false</LinksUpToDate>
  <CharactersWithSpaces>3186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2023-10-08T00:35:00Z</dcterms:created>
  <dc:creator>微软用户</dc:creator>
  <cp:lastModifiedBy>likerong</cp:lastModifiedBy>
  <cp:lastPrinted>2023-07-21T08:18:00Z</cp:lastPrinted>
  <dcterms:modified xsi:type="dcterms:W3CDTF">2023-10-25T02:10:02Z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F698B774F3DE4949A98ED635515CFBE9</vt:lpwstr>
  </property>
</Properties>
</file>