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lang w:val="en-US" w:eastAsia="zh-CN"/>
        </w:rPr>
      </w:pPr>
      <w:r>
        <w:rPr>
          <w:rFonts w:hint="eastAsia" w:eastAsia="方正大标宋简体" w:cs="Times New Roman"/>
          <w:sz w:val="96"/>
          <w:szCs w:val="1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互联网邮件系统</w:t>
      </w:r>
      <w:r>
        <w:rPr>
          <w:rFonts w:hint="eastAsia" w:ascii="Times New Roman" w:hAnsi="Times New Roman" w:eastAsia="方正小标宋简体" w:cs="Times New Roman"/>
          <w:sz w:val="44"/>
          <w:szCs w:val="44"/>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陆军军医大学某单位</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三</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十一</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color w:val="auto"/>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我单位就</w:t>
      </w:r>
      <w:r>
        <w:rPr>
          <w:rFonts w:hint="eastAsia" w:ascii="楷体_GB2312" w:hAnsi="楷体_GB2312" w:eastAsia="楷体_GB2312" w:cs="楷体_GB2312"/>
          <w:i w:val="0"/>
          <w:iCs w:val="0"/>
          <w:caps w:val="0"/>
          <w:color w:val="auto"/>
          <w:spacing w:val="0"/>
          <w:sz w:val="28"/>
          <w:szCs w:val="28"/>
          <w:vertAlign w:val="baseline"/>
          <w:lang w:eastAsia="zh-CN"/>
        </w:rPr>
        <w:t>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互联网邮件系统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w:t>
      </w:r>
      <w:r>
        <w:rPr>
          <w:rFonts w:hint="eastAsia" w:ascii="黑体" w:hAnsi="黑体" w:eastAsia="黑体" w:cs="黑体"/>
          <w:color w:val="auto"/>
          <w:sz w:val="28"/>
          <w:szCs w:val="28"/>
          <w:lang w:val="en-US" w:eastAsia="zh-CN"/>
        </w:rPr>
        <w:t>预算</w:t>
      </w:r>
      <w:r>
        <w:rPr>
          <w:rFonts w:hint="eastAsia" w:ascii="黑体" w:hAnsi="黑体" w:eastAsia="黑体" w:cs="黑体"/>
          <w:color w:val="auto"/>
          <w:sz w:val="28"/>
          <w:szCs w:val="28"/>
        </w:rPr>
        <w:t>：</w:t>
      </w:r>
      <w:r>
        <w:rPr>
          <w:rFonts w:hint="eastAsia" w:ascii="仿宋_GB2312" w:hAnsi="仿宋_GB2312" w:eastAsia="仿宋_GB2312" w:cs="仿宋_GB2312"/>
          <w:color w:val="auto"/>
          <w:sz w:val="28"/>
          <w:szCs w:val="28"/>
          <w:u w:val="single"/>
          <w:lang w:val="en-US" w:eastAsia="zh-CN"/>
        </w:rPr>
        <w:t xml:space="preserve">        18万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陆军军医大学某单位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互联网邮件系统</w:t>
            </w:r>
          </w:p>
        </w:tc>
        <w:tc>
          <w:tcPr>
            <w:tcW w:w="166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highlight w:val="none"/>
                <w:vertAlign w:val="baseline"/>
                <w:lang w:val="en-US" w:eastAsia="zh-CN"/>
              </w:rPr>
              <w:t>详见第二部分技术与商务需求</w:t>
            </w:r>
          </w:p>
        </w:tc>
        <w:tc>
          <w:tcPr>
            <w:tcW w:w="833"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套</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 xml:space="preserve"> 2023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11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17  </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 xml:space="preserve"> 2023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11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24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 xml:space="preserve"> 18 </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i w:val="0"/>
          <w:iCs w:val="0"/>
          <w:color w:val="auto"/>
          <w:sz w:val="28"/>
          <w:szCs w:val="28"/>
          <w:u w:val="single"/>
          <w:lang w:val="en-US" w:eastAsia="zh-CN"/>
        </w:rPr>
        <w:t>00</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（二）报价文件递交要求：签字盖章完善装订成册并密封递交，否则其报价将被拒绝</w:t>
      </w:r>
      <w:bookmarkStart w:id="0" w:name="_GoBack"/>
      <w:bookmarkEnd w:id="0"/>
      <w:r>
        <w:rPr>
          <w:rFonts w:hint="eastAsia" w:ascii="楷体_GB2312" w:hAnsi="楷体_GB2312" w:eastAsia="楷体_GB2312" w:cs="楷体_GB2312"/>
          <w:i w:val="0"/>
          <w:iCs w:val="0"/>
          <w:caps w:val="0"/>
          <w:color w:val="auto"/>
          <w:spacing w:val="0"/>
          <w:sz w:val="28"/>
          <w:szCs w:val="2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（三）报价文件递交地址：重庆市沙坪坝区高滩岩正街30号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曾老师    </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13667687172 </w:t>
      </w:r>
    </w:p>
    <w:p>
      <w:pPr>
        <w:rPr>
          <w:rFonts w:hint="default"/>
          <w:lang w:val="en-US" w:eastAsia="zh-CN"/>
        </w:r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pStyle w:val="2"/>
        <w:numPr>
          <w:ilvl w:val="0"/>
          <w:numId w:val="3"/>
        </w:numPr>
        <w:spacing w:before="0" w:after="0" w:line="579" w:lineRule="exact"/>
        <w:ind w:left="0" w:firstLine="640" w:firstLineChars="200"/>
        <w:rPr>
          <w:rFonts w:ascii="黑体" w:hAnsi="黑体" w:eastAsia="黑体"/>
          <w:b w:val="0"/>
          <w:bCs w:val="0"/>
          <w:sz w:val="32"/>
          <w:szCs w:val="32"/>
        </w:rPr>
      </w:pPr>
      <w:r>
        <w:rPr>
          <w:rFonts w:hint="eastAsia" w:ascii="黑体" w:hAnsi="黑体" w:eastAsia="黑体"/>
          <w:b w:val="0"/>
          <w:bCs w:val="0"/>
          <w:sz w:val="32"/>
          <w:szCs w:val="32"/>
        </w:rPr>
        <w:t>总体要求</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国产化软件，支持主流虚拟化平台部署。为保证数据的完整性，除需提供系统本身功能外，还需将甲方现有邮件系统（coremail邮件系统）的邮件和账号导入至新邮件系统中，不影响用户正常使用。</w:t>
      </w:r>
    </w:p>
    <w:p>
      <w:pPr>
        <w:pStyle w:val="2"/>
        <w:numPr>
          <w:ilvl w:val="0"/>
          <w:numId w:val="3"/>
        </w:numPr>
        <w:spacing w:before="0" w:after="0" w:line="579" w:lineRule="exact"/>
        <w:ind w:left="0" w:firstLine="640" w:firstLineChars="200"/>
        <w:rPr>
          <w:rFonts w:ascii="黑体" w:hAnsi="黑体" w:eastAsia="黑体"/>
          <w:b w:val="0"/>
          <w:bCs w:val="0"/>
          <w:sz w:val="32"/>
          <w:szCs w:val="32"/>
        </w:rPr>
      </w:pPr>
      <w:r>
        <w:rPr>
          <w:rFonts w:hint="eastAsia" w:ascii="黑体" w:hAnsi="黑体" w:eastAsia="黑体"/>
          <w:b w:val="0"/>
          <w:bCs w:val="0"/>
          <w:sz w:val="32"/>
          <w:szCs w:val="32"/>
        </w:rPr>
        <w:t>技术要求</w:t>
      </w:r>
    </w:p>
    <w:tbl>
      <w:tblPr>
        <w:tblStyle w:val="20"/>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9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25" w:type="dxa"/>
            <w:vAlign w:val="center"/>
          </w:tcPr>
          <w:p>
            <w:pPr>
              <w:pStyle w:val="34"/>
              <w:keepNext w:val="0"/>
              <w:keepLines w:val="0"/>
              <w:suppressLineNumbers w:val="0"/>
              <w:spacing w:before="0" w:beforeAutospacing="0" w:after="0" w:afterAutospacing="0" w:line="560" w:lineRule="exact"/>
              <w:ind w:left="0" w:right="0" w:firstLine="0" w:firstLineChars="0"/>
              <w:jc w:val="center"/>
              <w:rPr>
                <w:rFonts w:hint="default"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序号</w:t>
            </w:r>
          </w:p>
        </w:tc>
        <w:tc>
          <w:tcPr>
            <w:tcW w:w="1497" w:type="dxa"/>
            <w:vAlign w:val="center"/>
          </w:tcPr>
          <w:p>
            <w:pPr>
              <w:pStyle w:val="34"/>
              <w:keepNext w:val="0"/>
              <w:keepLines w:val="0"/>
              <w:suppressLineNumbers w:val="0"/>
              <w:spacing w:before="0" w:beforeAutospacing="0" w:after="0" w:afterAutospacing="0" w:line="560" w:lineRule="exact"/>
              <w:ind w:left="0" w:right="0" w:firstLine="0" w:firstLineChars="0"/>
              <w:jc w:val="center"/>
              <w:rPr>
                <w:rFonts w:hint="default"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板块</w:t>
            </w:r>
          </w:p>
        </w:tc>
        <w:tc>
          <w:tcPr>
            <w:tcW w:w="5749" w:type="dxa"/>
            <w:vAlign w:val="center"/>
          </w:tcPr>
          <w:p>
            <w:pPr>
              <w:pStyle w:val="34"/>
              <w:keepNext w:val="0"/>
              <w:keepLines w:val="0"/>
              <w:suppressLineNumbers w:val="0"/>
              <w:spacing w:before="0" w:beforeAutospacing="0" w:after="0" w:afterAutospacing="0" w:line="560" w:lineRule="exact"/>
              <w:ind w:left="0" w:right="0" w:firstLine="0" w:firstLineChars="0"/>
              <w:jc w:val="center"/>
              <w:rPr>
                <w:rFonts w:hint="default"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34"/>
              <w:keepNext w:val="0"/>
              <w:keepLines w:val="0"/>
              <w:suppressLineNumbers w:val="0"/>
              <w:spacing w:before="0" w:beforeAutospacing="0" w:after="0" w:afterAutospacing="0" w:line="560" w:lineRule="exact"/>
              <w:ind w:left="0" w:right="0" w:firstLine="0" w:firstLineChars="0"/>
              <w:jc w:val="center"/>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1</w:t>
            </w:r>
          </w:p>
        </w:tc>
        <w:tc>
          <w:tcPr>
            <w:tcW w:w="1497" w:type="dxa"/>
            <w:vAlign w:val="center"/>
          </w:tcPr>
          <w:p>
            <w:pPr>
              <w:pStyle w:val="34"/>
              <w:keepNext w:val="0"/>
              <w:keepLines w:val="0"/>
              <w:suppressLineNumbers w:val="0"/>
              <w:spacing w:before="0" w:beforeAutospacing="0" w:after="0" w:afterAutospacing="0" w:line="560" w:lineRule="exact"/>
              <w:ind w:left="0" w:right="0" w:firstLine="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邮件系统性能要求</w:t>
            </w:r>
          </w:p>
        </w:tc>
        <w:tc>
          <w:tcPr>
            <w:tcW w:w="5749" w:type="dxa"/>
            <w:vAlign w:val="center"/>
          </w:tcPr>
          <w:p>
            <w:pPr>
              <w:pStyle w:val="34"/>
              <w:keepNext w:val="0"/>
              <w:keepLines w:val="0"/>
              <w:numPr>
                <w:ilvl w:val="0"/>
                <w:numId w:val="4"/>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提供短信找回密码和短信二次验证登录，短信网关由采购方提供。</w:t>
            </w:r>
          </w:p>
          <w:p>
            <w:pPr>
              <w:pStyle w:val="34"/>
              <w:keepNext w:val="0"/>
              <w:keepLines w:val="0"/>
              <w:numPr>
                <w:ilvl w:val="0"/>
                <w:numId w:val="4"/>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用户授权数≥20000个。</w:t>
            </w:r>
          </w:p>
          <w:p>
            <w:pPr>
              <w:pStyle w:val="34"/>
              <w:keepNext w:val="0"/>
              <w:keepLines w:val="0"/>
              <w:numPr>
                <w:ilvl w:val="0"/>
                <w:numId w:val="4"/>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提供灵活的垃圾邮件过滤规则设置功能，用于对系统垃圾邮件进行自动分类和处理。提供智能化系统级反垃圾邮件和个性化用户级反垃圾邮件，垃圾邮件过滤率达99.5%以上。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34"/>
              <w:keepNext w:val="0"/>
              <w:keepLines w:val="0"/>
              <w:suppressLineNumbers w:val="0"/>
              <w:spacing w:before="0" w:beforeAutospacing="0" w:after="0" w:afterAutospacing="0" w:line="560" w:lineRule="exact"/>
              <w:ind w:left="0" w:right="0" w:firstLine="0" w:firstLineChars="0"/>
              <w:jc w:val="center"/>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2</w:t>
            </w:r>
          </w:p>
        </w:tc>
        <w:tc>
          <w:tcPr>
            <w:tcW w:w="1497" w:type="dxa"/>
            <w:vAlign w:val="center"/>
          </w:tcPr>
          <w:p>
            <w:pPr>
              <w:pStyle w:val="34"/>
              <w:keepNext w:val="0"/>
              <w:keepLines w:val="0"/>
              <w:suppressLineNumbers w:val="0"/>
              <w:spacing w:before="0" w:beforeAutospacing="0" w:after="0" w:afterAutospacing="0" w:line="560" w:lineRule="exact"/>
              <w:ind w:left="0" w:right="0" w:firstLine="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邮件系统功能要求</w:t>
            </w:r>
          </w:p>
        </w:tc>
        <w:tc>
          <w:tcPr>
            <w:tcW w:w="5749" w:type="dxa"/>
            <w:vAlign w:val="center"/>
          </w:tcPr>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提供单位、身份证号、手机号码固定，不能用户自行修改。</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提供指定IP无需二次认证登录。</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提供邮箱代收代发功能，既可在邮箱上收取其他邮箱的邮件，也可在邮箱上使用其他邮箱发送邮件。</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提供可疑邮件隔离区功能，支持将系统判定为可疑邮件存放到隔离区中，支持管理员和用户层面释放、删除或下载可疑邮件。</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提供接收到非通讯录联系人邮件时，可提示发件人为陌生人。</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提供在管理页自助查询当前账号的登录、发信、收信、删信记录。</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提供群发邮件时可打开群发单显功能项，收件人收到群发邮件后只看到自己的地址。</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附件发信异步操作，点击发信可实现附件上传完毕自动发送邮件。</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提供将同一个主题产生的多封往来邮件,简化为一封简单明了的会话邮件。可对会话邮件进行批量删除、批量转移和批量导出等操作。</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提供查询邮件发送成功与否的发送状态显示，提供发送状态统计，包括发送成功、发送失败、设置邮件自动转发且本地不保留的收信人统计。</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提供快速查找与指定联系人的所有往来邮件。</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提供全文搜索。输入关键字搜索邮件时，系统可快速在邮件主题、发件人、收件人、附件名称、邮件正文等邮件索引中匹配关键词。</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提供根据自身实际情况，对通讯录字段、签名、企业LOGO、登录页、公告栏、系统信和用户登录声明等进行定制配置。</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系统定期自动提供邮件系统健康自检报告邮件给管理员，并可以设置检测周期以及报告接收邮箱，报告内容包括但不仅限于磁盘读写状态、磁盘空间、数据库状态、邮件发送情况、反垃圾引擎状态、弱密码检查、系统入侵检测、每周垃圾邮件发送统计、被攻击账号、账号异常和长期未登陆账号。</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提供‘系统-站点--用户’多级组合管理体系。可自上而下进行授权设置管理员权限。</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提供Web界面查询用户日志、邮件日志、系统日志。</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提供JAVA、C、Webservice等标准API接口，为统一身份认证等第三方系统提供标准化接口对接。</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提供防暴力破解密码，当密码错误超过一定频率后，锁定IP和对应用户名。</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提供设置密码策略，可强制要求用户密码达到一定的复杂度，采用大写字母、小写字母、数字、特殊字符组合的方式；还可以添加弱密码和禁止使用的密码组合，设置密码有效期和图形验证码。</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提供登录限制策略，可对限定范围人员设定登录ip限制、终端限制和时间限制。</w:t>
            </w:r>
          </w:p>
          <w:p>
            <w:pPr>
              <w:pStyle w:val="34"/>
              <w:keepNext w:val="0"/>
              <w:keepLines w:val="0"/>
              <w:numPr>
                <w:ilvl w:val="0"/>
                <w:numId w:val="5"/>
              </w:numPr>
              <w:suppressLineNumbers w:val="0"/>
              <w:spacing w:before="0" w:beforeAutospacing="0" w:after="0" w:afterAutospacing="0" w:line="560" w:lineRule="exact"/>
              <w:ind w:right="0" w:firstLineChars="0"/>
              <w:rPr>
                <w:rFonts w:hint="default" w:ascii="仿宋_GB2312" w:hAnsi="宋体" w:eastAsia="仿宋_GB2312" w:cs="Times New Roman"/>
                <w:kern w:val="0"/>
                <w:sz w:val="32"/>
                <w:szCs w:val="32"/>
              </w:rPr>
            </w:pPr>
            <w:r>
              <w:rPr>
                <w:rFonts w:hint="eastAsia" w:ascii="仿宋_GB2312" w:hAnsi="宋体" w:eastAsia="仿宋_GB2312" w:cs="Times New Roman"/>
                <w:kern w:val="0"/>
                <w:sz w:val="32"/>
                <w:szCs w:val="32"/>
              </w:rPr>
              <w:t>提供安全信任设备管理，非信任设备禁止登录，设置可信设备后登录免二次验证。</w:t>
            </w:r>
          </w:p>
        </w:tc>
      </w:tr>
    </w:tbl>
    <w:p>
      <w:pPr>
        <w:pStyle w:val="2"/>
        <w:numPr>
          <w:ilvl w:val="0"/>
          <w:numId w:val="3"/>
        </w:numPr>
        <w:spacing w:before="0" w:after="0" w:line="579" w:lineRule="exact"/>
        <w:ind w:left="0" w:firstLine="640" w:firstLineChars="200"/>
        <w:rPr>
          <w:rFonts w:ascii="黑体" w:hAnsi="黑体" w:eastAsia="黑体"/>
          <w:b w:val="0"/>
          <w:bCs w:val="0"/>
          <w:sz w:val="32"/>
          <w:szCs w:val="32"/>
        </w:rPr>
      </w:pPr>
      <w:r>
        <w:rPr>
          <w:rFonts w:hint="eastAsia" w:ascii="黑体" w:hAnsi="黑体" w:eastAsia="黑体"/>
          <w:b w:val="0"/>
          <w:bCs w:val="0"/>
          <w:sz w:val="32"/>
          <w:szCs w:val="32"/>
        </w:rPr>
        <w:t>商务要求</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ascii="仿宋_GB2312" w:eastAsia="仿宋_GB2312"/>
        </w:rPr>
      </w:pPr>
      <w:r>
        <w:rPr>
          <w:rFonts w:hint="eastAsia" w:ascii="仿宋_GB2312" w:eastAsia="仿宋_GB2312"/>
        </w:rPr>
        <w:t>采购项目预算安排情况</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18万元</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数量、交付或者实施周期和服务地点</w:t>
      </w:r>
    </w:p>
    <w:p>
      <w:pPr>
        <w:pStyle w:val="34"/>
        <w:spacing w:line="560" w:lineRule="exact"/>
        <w:ind w:left="0" w:leftChars="0" w:firstLine="640" w:firstLineChars="200"/>
      </w:pPr>
      <w:r>
        <w:rPr>
          <w:rFonts w:hint="eastAsia" w:ascii="仿宋_GB2312" w:hAnsi="宋体" w:eastAsia="仿宋_GB2312" w:cs="Times New Roman"/>
          <w:kern w:val="0"/>
          <w:sz w:val="32"/>
          <w:szCs w:val="32"/>
        </w:rPr>
        <w:t>采购数量：1套。</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项目实施周期：合同签订后1个月。</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服务地点：重庆市沙坪坝区。</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售后服务要求</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（1）投标人提供≥5年原厂售后及软件免费升级服务，提供原厂商售后服务承诺函。如遇到紧急故障，需保证一小时内处理。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（2）提供安全漏洞更新修复提醒、重大安全事件提醒、滥发垃圾邮件、弱密码问题解决、邮件诈骗、系统漏洞处理。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（3）提供产品功能配置处理、邮件故障修复、系统磁盘空间清理、客户端体验版使用、web页面问题排查、系统性能问题排查、收发信问题排查等。</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（4）提供多种售后服务渠道，包括邮箱、微信公众号、5*8小时电话咨询及远程协助服务保障制度，做到随时随地都能找到人员，确保系统环境稳定，操作正常。</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（5）将紧急情况分为不同等级，针对不同等级问题预制针对性方案，确保用户使用环境安全稳定运行。</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验收标准及方法</w:t>
      </w:r>
    </w:p>
    <w:p>
      <w:p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（1）相关标准：执行国家相关标准、大学要求的军用标准、行业标准、地方标准或者其他标准、规范。</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（2）验收标准：投标供应商应在项目正式上线后</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0个工作日内通知招标人验收</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同时投标供应商需提供权威第三方软件功能测试报告</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招标人对所交货物依照采购清单和双方确认的技术标准进行现场验收。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（3）验收人员由采购人本项目主管部门领导和外请专家组成验收小组，验收时以系统稳定运行为前提，软件工程规范、合同约定功能模块完成情况为依据，符合验收标准后，才能通过验收。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（4）采用对照法的方式进行项目验收，达到采购合同约定要求的可执行软件，技术参数与采购合同一致，性能指标达到规定的标准，并符合国家及行业有关标准。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所有程序包括客户端、服务器端须提供完整的安装程序和完整的电子版，以及包括项目管理文档（含项目计划书、质量控制计划、用户培训计划、会议记录、项目工作报告）、项目开发文档（含总体设计文档、系统需求说明、系统概要及详细设计、数据字典、数据结构与流程、接口文档、项目测试文档）、上线功能清单、系统部署文档、系统安装手册、安全检查报告、软件系统用户使用手册、系统应急措施、质量保证计划等在内的完备准确的电子版技术资料，并根据采购人需要提供纸质版。</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项目凡具有下列情况之一的，按验收不合格处理：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（1）未按项目考核指标或合同要求达到所预定的主要技术指标的；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（2）所提供的验收材料不齐全或不真实的；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（3）项目的内容、目标或技术路线等已进行了较大调整，但未曾得到采购人认可的；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（4）实施过程中出现重大问题，尚未解决和作出说明，或项目实施过程及结果等存在纠纷尚未解决的；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（5）没有对系统或设备进行试运行，或者试运行不合格；</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（7）违反法律、法规的其他行为；</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（8）因乙方原因验收不合格的，限期整改；整改仍达不到要求的，招标人有权作退货处理。退货产生的全部损失由中标人自行承担，包括不限于给招标人及第三方造成的直接或者间接损失。</w:t>
      </w:r>
    </w:p>
    <w:p>
      <w:pPr>
        <w:pStyle w:val="3"/>
        <w:keepNext/>
        <w:keepLines/>
        <w:pageBreakBefore w:val="0"/>
        <w:widowControl w:val="0"/>
        <w:numPr>
          <w:ilvl w:val="0"/>
          <w:numId w:val="6"/>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付款方式</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到货后完成安装调试并通过测试和验收支付货款95%，质保期满支付5%。</w:t>
      </w:r>
    </w:p>
    <w:p>
      <w:pPr>
        <w:pStyle w:val="2"/>
        <w:numPr>
          <w:ilvl w:val="0"/>
          <w:numId w:val="3"/>
        </w:numPr>
        <w:spacing w:before="0" w:after="0" w:line="579" w:lineRule="exact"/>
        <w:ind w:left="0" w:firstLine="640" w:firstLineChars="200"/>
        <w:rPr>
          <w:rFonts w:ascii="黑体" w:hAnsi="黑体" w:eastAsia="黑体"/>
          <w:b w:val="0"/>
          <w:bCs w:val="0"/>
          <w:sz w:val="32"/>
          <w:szCs w:val="32"/>
        </w:rPr>
      </w:pPr>
      <w:r>
        <w:rPr>
          <w:rFonts w:hint="eastAsia" w:ascii="黑体" w:hAnsi="黑体" w:eastAsia="黑体"/>
          <w:b w:val="0"/>
          <w:bCs w:val="0"/>
          <w:sz w:val="32"/>
          <w:szCs w:val="32"/>
        </w:rPr>
        <w:t>实施意见</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采购方式选择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询价采购</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采购包划分</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供应商资格条件设定</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en-US" w:eastAsia="zh-CN"/>
        </w:rPr>
        <w:t>为确保本项目实施质量，避免出现以次充好导致本项目实施效果未达预期，限定</w:t>
      </w:r>
      <w:r>
        <w:rPr>
          <w:rFonts w:hint="eastAsia" w:ascii="仿宋_GB2312" w:hAnsi="宋体" w:eastAsia="仿宋_GB2312" w:cs="Times New Roman"/>
          <w:kern w:val="0"/>
          <w:sz w:val="32"/>
          <w:szCs w:val="32"/>
        </w:rPr>
        <w:t>投标产品或投标人须提供近3年双一流高校不低于1个邮件系统服务合同案例，</w:t>
      </w:r>
      <w:r>
        <w:rPr>
          <w:rFonts w:hint="eastAsia" w:ascii="仿宋_GB2312" w:hAnsi="宋体" w:eastAsia="仿宋_GB2312" w:cs="Times New Roman"/>
          <w:kern w:val="0"/>
          <w:sz w:val="32"/>
          <w:szCs w:val="32"/>
          <w:lang w:val="en-US" w:eastAsia="zh-CN"/>
        </w:rPr>
        <w:t>并</w:t>
      </w:r>
      <w:r>
        <w:rPr>
          <w:rFonts w:hint="eastAsia" w:ascii="仿宋_GB2312" w:hAnsi="宋体" w:eastAsia="仿宋_GB2312" w:cs="Times New Roman"/>
          <w:kern w:val="0"/>
          <w:sz w:val="32"/>
          <w:szCs w:val="32"/>
        </w:rPr>
        <w:t>提供合同关键页复印件</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该高校互联网邮箱截图作为佐证材料</w:t>
      </w:r>
      <w:r>
        <w:rPr>
          <w:rFonts w:hint="eastAsia" w:ascii="仿宋_GB2312" w:hAnsi="宋体" w:eastAsia="仿宋_GB2312" w:cs="Times New Roman"/>
          <w:kern w:val="0"/>
          <w:sz w:val="32"/>
          <w:szCs w:val="32"/>
        </w:rPr>
        <w:t>。</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评审方式选择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价格优先法</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安全保密措施</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中标单位须与大学签订保密协议，项目实施人员须与大学签订保密承诺书。</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其他实施意见</w:t>
      </w:r>
    </w:p>
    <w:p>
      <w:pPr>
        <w:pStyle w:val="17"/>
        <w:widowControl/>
        <w:spacing w:line="560" w:lineRule="exact"/>
        <w:ind w:firstLine="640" w:firstLineChars="200"/>
        <w:rPr>
          <w:rFonts w:hint="eastAsia" w:ascii="仿宋_GB2312" w:hAnsi="宋体" w:eastAsia="仿宋_GB2312" w:cs="Times New Roman"/>
          <w:sz w:val="32"/>
          <w:szCs w:val="32"/>
          <w:highlight w:val="none"/>
        </w:rPr>
      </w:pPr>
      <w:r>
        <w:rPr>
          <w:rFonts w:hint="eastAsia" w:ascii="仿宋_GB2312" w:eastAsia="仿宋_GB2312" w:cs="仿宋_GB2312"/>
          <w:color w:val="000000"/>
          <w:sz w:val="32"/>
          <w:szCs w:val="32"/>
        </w:rPr>
        <w:t>物资类采购</w:t>
      </w:r>
    </w:p>
    <w:p>
      <w:pPr>
        <w:spacing w:line="560" w:lineRule="exact"/>
        <w:ind w:firstLine="640" w:firstLineChars="200"/>
        <w:rPr>
          <w:rFonts w:hint="eastAsia" w:ascii="仿宋_GB2312" w:hAnsi="宋体" w:eastAsia="仿宋_GB2312" w:cs="Times New Roman"/>
          <w:sz w:val="32"/>
          <w:szCs w:val="32"/>
          <w:highlight w:val="none"/>
        </w:rPr>
      </w:pPr>
    </w:p>
    <w:p>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18"/>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18"/>
        <w:rPr>
          <w:rFonts w:ascii="Times New Roman" w:hAnsi="Times New Roman" w:cs="Times New Roman"/>
          <w:kern w:val="0"/>
          <w:szCs w:val="28"/>
        </w:rPr>
      </w:pPr>
    </w:p>
    <w:p>
      <w:pPr>
        <w:rPr>
          <w:rFonts w:ascii="Times New Roman" w:hAnsi="Times New Roman" w:cs="Times New Roman"/>
          <w:kern w:val="0"/>
          <w:szCs w:val="28"/>
        </w:rPr>
      </w:pPr>
    </w:p>
    <w:p>
      <w:pPr>
        <w:pStyle w:val="18"/>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18"/>
      </w:pPr>
    </w:p>
    <w:p>
      <w:pPr>
        <w:pStyle w:val="18"/>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3FADC8-3757-48DC-B122-EF3A65415D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DD65931F-A9AE-46C1-BD95-BDCD11B8C660}"/>
  </w:font>
  <w:font w:name="方正小标宋简体">
    <w:panose1 w:val="02000000000000000000"/>
    <w:charset w:val="86"/>
    <w:family w:val="script"/>
    <w:pitch w:val="default"/>
    <w:sig w:usb0="00000001" w:usb1="080E0000" w:usb2="00000000" w:usb3="00000000" w:csb0="00040000" w:csb1="00000000"/>
    <w:embedRegular r:id="rId3" w:fontKey="{6733B2F0-2AA6-451B-8E5E-36289A6C503B}"/>
  </w:font>
  <w:font w:name="方正大标宋简体">
    <w:altName w:val="微软雅黑"/>
    <w:panose1 w:val="03000509000000000000"/>
    <w:charset w:val="86"/>
    <w:family w:val="auto"/>
    <w:pitch w:val="default"/>
    <w:sig w:usb0="00000000" w:usb1="00000000" w:usb2="00000000" w:usb3="00000000" w:csb0="00040000" w:csb1="00000000"/>
    <w:embedRegular r:id="rId4" w:fontKey="{018EB8C9-9AA3-412E-8E5A-E922743B77E3}"/>
  </w:font>
  <w:font w:name="楷体_GB2312">
    <w:panose1 w:val="02010609030101010101"/>
    <w:charset w:val="86"/>
    <w:family w:val="modern"/>
    <w:pitch w:val="default"/>
    <w:sig w:usb0="00000001" w:usb1="080E0000" w:usb2="00000000" w:usb3="00000000" w:csb0="00040000" w:csb1="00000000"/>
    <w:embedRegular r:id="rId5" w:fontKey="{F4D287DB-3905-494C-9B87-1CF8BFAA7D08}"/>
  </w:font>
  <w:font w:name="仿宋">
    <w:panose1 w:val="02010609060101010101"/>
    <w:charset w:val="86"/>
    <w:family w:val="modern"/>
    <w:pitch w:val="default"/>
    <w:sig w:usb0="800002BF" w:usb1="38CF7CFA" w:usb2="00000016" w:usb3="00000000" w:csb0="00040001" w:csb1="00000000"/>
    <w:embedRegular r:id="rId6" w:fontKey="{6131664B-72E4-41C2-A80C-E7B3C18E5D6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44D437F6"/>
    <w:multiLevelType w:val="multilevel"/>
    <w:tmpl w:val="44D437F6"/>
    <w:lvl w:ilvl="0" w:tentative="0">
      <w:start w:val="1"/>
      <w:numFmt w:val="chineseCountingThousand"/>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74AD8D9"/>
    <w:multiLevelType w:val="multilevel"/>
    <w:tmpl w:val="574AD8D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C98715B"/>
    <w:multiLevelType w:val="multilevel"/>
    <w:tmpl w:val="5C98715B"/>
    <w:lvl w:ilvl="0" w:tentative="0">
      <w:start w:val="1"/>
      <w:numFmt w:val="decimal"/>
      <w:lvlText w:val="%1."/>
      <w:lvlJc w:val="left"/>
      <w:pPr>
        <w:ind w:left="440" w:hanging="440"/>
      </w:pPr>
    </w:lvl>
    <w:lvl w:ilvl="1" w:tentative="0">
      <w:start w:val="0"/>
      <w:numFmt w:val="bullet"/>
      <w:lvlText w:val="★"/>
      <w:lvlJc w:val="left"/>
      <w:pPr>
        <w:ind w:left="800" w:hanging="360"/>
      </w:pPr>
      <w:rPr>
        <w:rFonts w:hint="eastAsia" w:ascii="仿宋_GB2312" w:hAnsi="宋体" w:eastAsia="仿宋_GB2312"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DD86FF8"/>
    <w:multiLevelType w:val="multilevel"/>
    <w:tmpl w:val="5DD86FF8"/>
    <w:lvl w:ilvl="0" w:tentative="0">
      <w:start w:val="1"/>
      <w:numFmt w:val="decimal"/>
      <w:lvlText w:val="%1."/>
      <w:lvlJc w:val="left"/>
      <w:pPr>
        <w:ind w:left="440" w:hanging="440"/>
      </w:pPr>
    </w:lvl>
    <w:lvl w:ilvl="1" w:tentative="0">
      <w:start w:val="0"/>
      <w:numFmt w:val="bullet"/>
      <w:lvlText w:val="★"/>
      <w:lvlJc w:val="left"/>
      <w:pPr>
        <w:ind w:left="800" w:hanging="360"/>
      </w:pPr>
      <w:rPr>
        <w:rFonts w:hint="eastAsia" w:ascii="仿宋_GB2312" w:hAnsi="宋体" w:eastAsia="仿宋_GB2312"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0E03C29"/>
    <w:multiLevelType w:val="multilevel"/>
    <w:tmpl w:val="60E03C2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zc0MmE2YjUzMGIwNjEzNTMyZmY4NzM5YjU1Nj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0F0B0D14"/>
    <w:rsid w:val="11674266"/>
    <w:rsid w:val="143D7A24"/>
    <w:rsid w:val="14765EED"/>
    <w:rsid w:val="14AF636D"/>
    <w:rsid w:val="150474D2"/>
    <w:rsid w:val="1CCE22DB"/>
    <w:rsid w:val="1D7A26DD"/>
    <w:rsid w:val="1E421D2E"/>
    <w:rsid w:val="20672FDF"/>
    <w:rsid w:val="2C245261"/>
    <w:rsid w:val="2E28703E"/>
    <w:rsid w:val="2E3F6F72"/>
    <w:rsid w:val="2EED207D"/>
    <w:rsid w:val="30B402AF"/>
    <w:rsid w:val="3104090C"/>
    <w:rsid w:val="35375C5B"/>
    <w:rsid w:val="35500CBF"/>
    <w:rsid w:val="36372989"/>
    <w:rsid w:val="37A42A2A"/>
    <w:rsid w:val="3C446528"/>
    <w:rsid w:val="3DD74805"/>
    <w:rsid w:val="3E0B5931"/>
    <w:rsid w:val="422A2281"/>
    <w:rsid w:val="43A62AD6"/>
    <w:rsid w:val="46CD3E3E"/>
    <w:rsid w:val="46F920D7"/>
    <w:rsid w:val="478F7ED7"/>
    <w:rsid w:val="47F95F40"/>
    <w:rsid w:val="481F6B1F"/>
    <w:rsid w:val="48E064A0"/>
    <w:rsid w:val="49A37EA2"/>
    <w:rsid w:val="4B4A05C6"/>
    <w:rsid w:val="4B5C7602"/>
    <w:rsid w:val="4DEE0395"/>
    <w:rsid w:val="50084B0C"/>
    <w:rsid w:val="505C602E"/>
    <w:rsid w:val="50D0256E"/>
    <w:rsid w:val="528B13DA"/>
    <w:rsid w:val="52B92EE7"/>
    <w:rsid w:val="52C928ED"/>
    <w:rsid w:val="53793538"/>
    <w:rsid w:val="54E22292"/>
    <w:rsid w:val="54FC3833"/>
    <w:rsid w:val="581E5623"/>
    <w:rsid w:val="586E0370"/>
    <w:rsid w:val="587C5E02"/>
    <w:rsid w:val="58DD72E9"/>
    <w:rsid w:val="5A04249F"/>
    <w:rsid w:val="5E6E102A"/>
    <w:rsid w:val="65D23C9B"/>
    <w:rsid w:val="68B27EEE"/>
    <w:rsid w:val="68BE0B64"/>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标题 1 Char"/>
    <w:basedOn w:val="21"/>
    <w:link w:val="2"/>
    <w:qFormat/>
    <w:uiPriority w:val="9"/>
    <w:rPr>
      <w:rFonts w:ascii="Times New Roman" w:hAnsi="Times New Roman" w:eastAsia="宋体" w:cs="Times New Roman"/>
      <w:b/>
      <w:bCs/>
      <w:kern w:val="44"/>
      <w:sz w:val="44"/>
      <w:szCs w:val="44"/>
    </w:rPr>
  </w:style>
  <w:style w:type="character" w:customStyle="1" w:styleId="26">
    <w:name w:val="页眉 Char"/>
    <w:basedOn w:val="21"/>
    <w:link w:val="13"/>
    <w:qFormat/>
    <w:uiPriority w:val="0"/>
    <w:rPr>
      <w:sz w:val="18"/>
      <w:szCs w:val="18"/>
    </w:rPr>
  </w:style>
  <w:style w:type="character" w:customStyle="1" w:styleId="27">
    <w:name w:val="页脚 Char"/>
    <w:basedOn w:val="21"/>
    <w:link w:val="12"/>
    <w:qFormat/>
    <w:uiPriority w:val="99"/>
    <w:rPr>
      <w:sz w:val="18"/>
      <w:szCs w:val="18"/>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qFormat/>
    <w:uiPriority w:val="0"/>
    <w:rPr>
      <w:rFonts w:ascii="Times New Roman" w:hAnsi="Times New Roman" w:eastAsia="宋体" w:cs="Times New Roman"/>
      <w:sz w:val="44"/>
      <w:szCs w:val="20"/>
    </w:rPr>
  </w:style>
  <w:style w:type="character" w:customStyle="1" w:styleId="31">
    <w:name w:val="批注框文本 Char"/>
    <w:basedOn w:val="21"/>
    <w:link w:val="11"/>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1838</Words>
  <Characters>1858</Characters>
  <Lines>90</Lines>
  <Paragraphs>25</Paragraphs>
  <TotalTime>9</TotalTime>
  <ScaleCrop>false</ScaleCrop>
  <LinksUpToDate>false</LinksUpToDate>
  <CharactersWithSpaces>2252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网络中心值班</cp:lastModifiedBy>
  <cp:lastPrinted>2021-08-23T01:01:00Z</cp:lastPrinted>
  <dcterms:modified xsi:type="dcterms:W3CDTF">2023-11-10T09:13:01Z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FF3A2AFCA0934F00A38A8A6A780D4474_13</vt:lpwstr>
  </property>
</Properties>
</file>